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eastAsia="it-IT"/>
        </w:rPr>
      </w:pPr>
      <w:bookmarkStart w:id="0" w:name="az"/>
      <w:bookmarkEnd w:id="0"/>
      <w:r w:rsidRPr="00CF3C20">
        <w:rPr>
          <w:rFonts w:ascii="Times New Roman" w:eastAsia="Times New Roman" w:hAnsi="Times New Roman" w:cs="Times New Roman"/>
          <w:sz w:val="24"/>
          <w:szCs w:val="24"/>
          <w:lang w:eastAsia="it-IT"/>
        </w:rPr>
        <w:t xml:space="preserve">BUNDESVERFASSUNGSGERICHT </w:t>
      </w:r>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eastAsia="it-IT"/>
        </w:rPr>
      </w:pPr>
      <w:r w:rsidRPr="00CF3C20">
        <w:rPr>
          <w:rFonts w:ascii="Times New Roman" w:eastAsia="Times New Roman" w:hAnsi="Times New Roman" w:cs="Times New Roman"/>
          <w:sz w:val="24"/>
          <w:szCs w:val="24"/>
          <w:lang w:eastAsia="it-IT"/>
        </w:rPr>
        <w:t>- 1 BvR 1916/09 -</w:t>
      </w:r>
    </w:p>
    <w:p w:rsidR="00CF3C20" w:rsidRPr="00CF3C20" w:rsidRDefault="00CF3C20" w:rsidP="00CF3C20">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019175" cy="952500"/>
            <wp:effectExtent l="19050" t="0" r="9525" b="0"/>
            <wp:docPr id="4" name="Immagine 4" descr="Bundesa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ndesadler"/>
                    <pic:cNvPicPr>
                      <a:picLocks noChangeAspect="1" noChangeArrowheads="1"/>
                    </pic:cNvPicPr>
                  </pic:nvPicPr>
                  <pic:blipFill>
                    <a:blip r:embed="rId5" cstate="print"/>
                    <a:srcRect/>
                    <a:stretch>
                      <a:fillRect/>
                    </a:stretch>
                  </pic:blipFill>
                  <pic:spPr bwMode="auto">
                    <a:xfrm>
                      <a:off x="0" y="0"/>
                      <a:ext cx="1019175" cy="952500"/>
                    </a:xfrm>
                    <a:prstGeom prst="rect">
                      <a:avLst/>
                    </a:prstGeom>
                    <a:noFill/>
                    <a:ln w="9525">
                      <a:noFill/>
                      <a:miter lim="800000"/>
                      <a:headEnd/>
                      <a:tailEnd/>
                    </a:ln>
                  </pic:spPr>
                </pic:pic>
              </a:graphicData>
            </a:graphic>
          </wp:inline>
        </w:drawing>
      </w:r>
    </w:p>
    <w:p w:rsidR="00CF3C20" w:rsidRPr="00CF3C20" w:rsidRDefault="00CF3C20" w:rsidP="00CF3C20">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CF3C20">
        <w:rPr>
          <w:rFonts w:ascii="Times New Roman" w:eastAsia="Times New Roman" w:hAnsi="Times New Roman" w:cs="Times New Roman"/>
          <w:b/>
          <w:bCs/>
          <w:kern w:val="36"/>
          <w:sz w:val="48"/>
          <w:szCs w:val="48"/>
          <w:lang w:eastAsia="it-IT"/>
        </w:rPr>
        <w:t>Im Namen des Volkes</w:t>
      </w:r>
    </w:p>
    <w:p w:rsidR="00CF3C20" w:rsidRPr="00CF3C20" w:rsidRDefault="00CF3C20" w:rsidP="00CF3C20">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CF3C20">
        <w:rPr>
          <w:rFonts w:ascii="Times New Roman" w:eastAsia="Times New Roman" w:hAnsi="Times New Roman" w:cs="Times New Roman"/>
          <w:b/>
          <w:bCs/>
          <w:sz w:val="36"/>
          <w:szCs w:val="36"/>
          <w:lang w:eastAsia="it-IT"/>
        </w:rPr>
        <w:t>In dem Verfahren</w:t>
      </w:r>
      <w:r w:rsidRPr="00CF3C20">
        <w:rPr>
          <w:rFonts w:ascii="Times New Roman" w:eastAsia="Times New Roman" w:hAnsi="Times New Roman" w:cs="Times New Roman"/>
          <w:b/>
          <w:bCs/>
          <w:sz w:val="36"/>
          <w:szCs w:val="36"/>
          <w:lang w:eastAsia="it-IT"/>
        </w:rPr>
        <w:br/>
        <w:t>über</w:t>
      </w:r>
      <w:r w:rsidRPr="00CF3C20">
        <w:rPr>
          <w:rFonts w:ascii="Times New Roman" w:eastAsia="Times New Roman" w:hAnsi="Times New Roman" w:cs="Times New Roman"/>
          <w:b/>
          <w:bCs/>
          <w:sz w:val="36"/>
          <w:szCs w:val="36"/>
          <w:lang w:eastAsia="it-IT"/>
        </w:rPr>
        <w:br/>
        <w:t>die Verfassungsbeschwerde</w:t>
      </w:r>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eastAsia="it-IT"/>
        </w:rPr>
      </w:pPr>
      <w:bookmarkStart w:id="1" w:name="vb"/>
      <w:bookmarkEnd w:id="1"/>
      <w:r w:rsidRPr="00CF3C20">
        <w:rPr>
          <w:rFonts w:ascii="Times New Roman" w:eastAsia="Times New Roman" w:hAnsi="Times New Roman" w:cs="Times New Roman"/>
          <w:sz w:val="24"/>
          <w:szCs w:val="24"/>
          <w:lang w:eastAsia="it-IT"/>
        </w:rPr>
        <w:t>der C... S.p.A., Italien,</w:t>
      </w:r>
    </w:p>
    <w:p w:rsidR="00CF3C20" w:rsidRPr="00CF3C20" w:rsidRDefault="00CF3C20" w:rsidP="00CF3C20">
      <w:pPr>
        <w:spacing w:after="0" w:line="240" w:lineRule="auto"/>
        <w:rPr>
          <w:rFonts w:ascii="Times New Roman" w:eastAsia="Times New Roman" w:hAnsi="Times New Roman" w:cs="Times New Roman"/>
          <w:sz w:val="24"/>
          <w:szCs w:val="24"/>
          <w:lang w:eastAsia="it-IT"/>
        </w:rPr>
      </w:pPr>
      <w:bookmarkStart w:id="2" w:name="bvm"/>
      <w:bookmarkEnd w:id="2"/>
      <w:r w:rsidRPr="00CF3C20">
        <w:rPr>
          <w:rFonts w:ascii="Times New Roman" w:eastAsia="Times New Roman" w:hAnsi="Times New Roman" w:cs="Times New Roman"/>
          <w:sz w:val="24"/>
          <w:szCs w:val="24"/>
          <w:lang w:eastAsia="it-IT"/>
        </w:rPr>
        <w:t>- Bevollmächtigte:</w:t>
      </w:r>
    </w:p>
    <w:p w:rsidR="00CF3C20" w:rsidRPr="00CF3C20" w:rsidRDefault="00CF3C20" w:rsidP="00CF3C20">
      <w:pPr>
        <w:spacing w:after="0" w:line="240" w:lineRule="auto"/>
        <w:rPr>
          <w:rFonts w:ascii="Times New Roman" w:eastAsia="Times New Roman" w:hAnsi="Times New Roman" w:cs="Times New Roman"/>
          <w:sz w:val="24"/>
          <w:szCs w:val="24"/>
          <w:lang w:eastAsia="it-IT"/>
        </w:rPr>
      </w:pPr>
      <w:r w:rsidRPr="00CF3C20">
        <w:rPr>
          <w:rFonts w:ascii="Times New Roman" w:eastAsia="Times New Roman" w:hAnsi="Times New Roman" w:cs="Times New Roman"/>
          <w:sz w:val="24"/>
          <w:szCs w:val="24"/>
          <w:lang w:eastAsia="it-IT"/>
        </w:rPr>
        <w:t xml:space="preserve">Rechtsanwälte Deubner &amp; Kirchberg, </w:t>
      </w:r>
      <w:r w:rsidRPr="00CF3C20">
        <w:rPr>
          <w:rFonts w:ascii="Times New Roman" w:eastAsia="Times New Roman" w:hAnsi="Times New Roman" w:cs="Times New Roman"/>
          <w:sz w:val="24"/>
          <w:szCs w:val="24"/>
          <w:lang w:eastAsia="it-IT"/>
        </w:rPr>
        <w:br/>
        <w:t xml:space="preserve">Mozartstraße 13, 76133 Karlsruhe - </w:t>
      </w:r>
    </w:p>
    <w:tbl>
      <w:tblPr>
        <w:tblW w:w="4000" w:type="pct"/>
        <w:tblCellSpacing w:w="15" w:type="dxa"/>
        <w:tblCellMar>
          <w:top w:w="15" w:type="dxa"/>
          <w:left w:w="15" w:type="dxa"/>
          <w:bottom w:w="15" w:type="dxa"/>
          <w:right w:w="15" w:type="dxa"/>
        </w:tblCellMar>
        <w:tblLook w:val="04A0"/>
      </w:tblPr>
      <w:tblGrid>
        <w:gridCol w:w="665"/>
        <w:gridCol w:w="7117"/>
      </w:tblGrid>
      <w:tr w:rsidR="00CF3C20" w:rsidRPr="00CF3C20" w:rsidTr="00CF3C20">
        <w:trPr>
          <w:tblCellSpacing w:w="15" w:type="dxa"/>
        </w:trPr>
        <w:tc>
          <w:tcPr>
            <w:tcW w:w="0" w:type="auto"/>
            <w:hideMark/>
          </w:tcPr>
          <w:p w:rsidR="00CF3C20" w:rsidRPr="00CF3C20" w:rsidRDefault="00CF3C20" w:rsidP="00CF3C20">
            <w:pPr>
              <w:spacing w:after="0" w:line="240" w:lineRule="auto"/>
              <w:rPr>
                <w:rFonts w:ascii="Times New Roman" w:eastAsia="Times New Roman" w:hAnsi="Times New Roman" w:cs="Times New Roman"/>
                <w:sz w:val="24"/>
                <w:szCs w:val="24"/>
                <w:lang w:eastAsia="it-IT"/>
              </w:rPr>
            </w:pPr>
            <w:bookmarkStart w:id="3" w:name="vgt"/>
            <w:bookmarkEnd w:id="3"/>
            <w:r w:rsidRPr="00CF3C20">
              <w:rPr>
                <w:rFonts w:ascii="Times New Roman" w:eastAsia="Times New Roman" w:hAnsi="Times New Roman" w:cs="Times New Roman"/>
                <w:sz w:val="24"/>
                <w:szCs w:val="24"/>
                <w:lang w:eastAsia="it-IT"/>
              </w:rPr>
              <w:t xml:space="preserve">gegen </w:t>
            </w:r>
          </w:p>
        </w:tc>
        <w:tc>
          <w:tcPr>
            <w:tcW w:w="0" w:type="auto"/>
            <w:hideMark/>
          </w:tcPr>
          <w:p w:rsidR="00CF3C20" w:rsidRPr="00CF3C20" w:rsidRDefault="00CF3C20" w:rsidP="00CF3C20">
            <w:pPr>
              <w:spacing w:after="0" w:line="240" w:lineRule="auto"/>
              <w:rPr>
                <w:rFonts w:ascii="Times New Roman" w:eastAsia="Times New Roman" w:hAnsi="Times New Roman" w:cs="Times New Roman"/>
                <w:sz w:val="24"/>
                <w:szCs w:val="24"/>
                <w:lang w:eastAsia="it-IT"/>
              </w:rPr>
            </w:pPr>
            <w:r w:rsidRPr="00CF3C20">
              <w:rPr>
                <w:rFonts w:ascii="Times New Roman" w:eastAsia="Times New Roman" w:hAnsi="Times New Roman" w:cs="Times New Roman"/>
                <w:sz w:val="24"/>
                <w:szCs w:val="24"/>
                <w:lang w:val="fr-BE" w:eastAsia="it-IT"/>
              </w:rPr>
              <w:t xml:space="preserve">das Urteil des Bundesgerichtshofs vom 22. </w:t>
            </w:r>
            <w:r w:rsidRPr="00CF3C20">
              <w:rPr>
                <w:rFonts w:ascii="Times New Roman" w:eastAsia="Times New Roman" w:hAnsi="Times New Roman" w:cs="Times New Roman"/>
                <w:sz w:val="24"/>
                <w:szCs w:val="24"/>
                <w:lang w:eastAsia="it-IT"/>
              </w:rPr>
              <w:t>Januar 2009 - I ZR 148/06 -</w:t>
            </w:r>
          </w:p>
        </w:tc>
      </w:tr>
    </w:tbl>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bookmarkStart w:id="4" w:name="rr"/>
      <w:bookmarkEnd w:id="4"/>
      <w:r w:rsidRPr="00CF3C20">
        <w:rPr>
          <w:rFonts w:ascii="Times New Roman" w:eastAsia="Times New Roman" w:hAnsi="Times New Roman" w:cs="Times New Roman"/>
          <w:sz w:val="24"/>
          <w:szCs w:val="24"/>
          <w:lang w:val="en-US" w:eastAsia="it-IT"/>
        </w:rPr>
        <w:t>hat das Bundesverfassungsgericht - Erster Senat - unter Mitwirkung der Richterinnen und Richter</w:t>
      </w:r>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Vizepräsident Kirchhof,</w:t>
      </w:r>
      <w:r w:rsidRPr="00CF3C20">
        <w:rPr>
          <w:rFonts w:ascii="Times New Roman" w:eastAsia="Times New Roman" w:hAnsi="Times New Roman" w:cs="Times New Roman"/>
          <w:sz w:val="24"/>
          <w:szCs w:val="24"/>
          <w:lang w:val="en-US" w:eastAsia="it-IT"/>
        </w:rPr>
        <w:br/>
        <w:t>Gaier,</w:t>
      </w:r>
      <w:r w:rsidRPr="00CF3C20">
        <w:rPr>
          <w:rFonts w:ascii="Times New Roman" w:eastAsia="Times New Roman" w:hAnsi="Times New Roman" w:cs="Times New Roman"/>
          <w:sz w:val="24"/>
          <w:szCs w:val="24"/>
          <w:lang w:val="en-US" w:eastAsia="it-IT"/>
        </w:rPr>
        <w:br/>
        <w:t>Eichberger,</w:t>
      </w:r>
      <w:r w:rsidRPr="00CF3C20">
        <w:rPr>
          <w:rFonts w:ascii="Times New Roman" w:eastAsia="Times New Roman" w:hAnsi="Times New Roman" w:cs="Times New Roman"/>
          <w:sz w:val="24"/>
          <w:szCs w:val="24"/>
          <w:lang w:val="en-US" w:eastAsia="it-IT"/>
        </w:rPr>
        <w:br/>
        <w:t>Schluckebier,</w:t>
      </w:r>
      <w:r w:rsidRPr="00CF3C20">
        <w:rPr>
          <w:rFonts w:ascii="Times New Roman" w:eastAsia="Times New Roman" w:hAnsi="Times New Roman" w:cs="Times New Roman"/>
          <w:sz w:val="24"/>
          <w:szCs w:val="24"/>
          <w:lang w:val="en-US" w:eastAsia="it-IT"/>
        </w:rPr>
        <w:br/>
        <w:t>Masing,</w:t>
      </w:r>
      <w:r w:rsidRPr="00CF3C20">
        <w:rPr>
          <w:rFonts w:ascii="Times New Roman" w:eastAsia="Times New Roman" w:hAnsi="Times New Roman" w:cs="Times New Roman"/>
          <w:sz w:val="24"/>
          <w:szCs w:val="24"/>
          <w:lang w:val="en-US" w:eastAsia="it-IT"/>
        </w:rPr>
        <w:br/>
        <w:t>Paulus,</w:t>
      </w:r>
      <w:r w:rsidRPr="00CF3C20">
        <w:rPr>
          <w:rFonts w:ascii="Times New Roman" w:eastAsia="Times New Roman" w:hAnsi="Times New Roman" w:cs="Times New Roman"/>
          <w:sz w:val="24"/>
          <w:szCs w:val="24"/>
          <w:lang w:val="en-US" w:eastAsia="it-IT"/>
        </w:rPr>
        <w:br/>
        <w:t>Baer,</w:t>
      </w:r>
      <w:r w:rsidRPr="00CF3C20">
        <w:rPr>
          <w:rFonts w:ascii="Times New Roman" w:eastAsia="Times New Roman" w:hAnsi="Times New Roman" w:cs="Times New Roman"/>
          <w:sz w:val="24"/>
          <w:szCs w:val="24"/>
          <w:lang w:val="en-US" w:eastAsia="it-IT"/>
        </w:rPr>
        <w:br/>
        <w:t>Britz</w:t>
      </w:r>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bookmarkStart w:id="5" w:name="bf"/>
      <w:bookmarkEnd w:id="5"/>
      <w:r w:rsidRPr="00CF3C20">
        <w:rPr>
          <w:rFonts w:ascii="Times New Roman" w:eastAsia="Times New Roman" w:hAnsi="Times New Roman" w:cs="Times New Roman"/>
          <w:sz w:val="24"/>
          <w:szCs w:val="24"/>
          <w:lang w:val="en-US" w:eastAsia="it-IT"/>
        </w:rPr>
        <w:t>am 19. Juli 2011 beschlossen:</w:t>
      </w:r>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bookmarkStart w:id="6" w:name="bs"/>
      <w:bookmarkEnd w:id="6"/>
      <w:r w:rsidRPr="00CF3C20">
        <w:rPr>
          <w:rFonts w:ascii="Times New Roman" w:eastAsia="Times New Roman" w:hAnsi="Times New Roman" w:cs="Times New Roman"/>
          <w:sz w:val="24"/>
          <w:szCs w:val="24"/>
          <w:lang w:val="en-US" w:eastAsia="it-IT"/>
        </w:rPr>
        <w:t>Die Verfassungsbeschwerde wird zurückgewiesen.</w:t>
      </w:r>
    </w:p>
    <w:p w:rsidR="00CF3C20" w:rsidRPr="00CF3C20" w:rsidRDefault="00CF3C20" w:rsidP="00CF3C20">
      <w:pPr>
        <w:spacing w:before="100" w:beforeAutospacing="1" w:after="100" w:afterAutospacing="1" w:line="240" w:lineRule="auto"/>
        <w:outlineLvl w:val="2"/>
        <w:rPr>
          <w:rFonts w:ascii="Times New Roman" w:eastAsia="Times New Roman" w:hAnsi="Times New Roman" w:cs="Times New Roman"/>
          <w:b/>
          <w:bCs/>
          <w:sz w:val="27"/>
          <w:szCs w:val="27"/>
          <w:lang w:val="en-US" w:eastAsia="it-IT"/>
        </w:rPr>
      </w:pPr>
      <w:bookmarkStart w:id="7" w:name="bg"/>
      <w:bookmarkEnd w:id="7"/>
      <w:r w:rsidRPr="00CF3C20">
        <w:rPr>
          <w:rFonts w:ascii="Times New Roman" w:eastAsia="Times New Roman" w:hAnsi="Times New Roman" w:cs="Times New Roman"/>
          <w:b/>
          <w:bCs/>
          <w:sz w:val="27"/>
          <w:szCs w:val="27"/>
          <w:lang w:val="en-US" w:eastAsia="it-IT"/>
        </w:rPr>
        <w:t>Gründe:</w:t>
      </w:r>
    </w:p>
    <w:p w:rsidR="00CF3C20" w:rsidRPr="00CF3C20" w:rsidRDefault="00CF3C20" w:rsidP="00CF3C20">
      <w:pPr>
        <w:spacing w:before="100" w:beforeAutospacing="1" w:after="100" w:afterAutospacing="1" w:line="240" w:lineRule="auto"/>
        <w:outlineLvl w:val="3"/>
        <w:rPr>
          <w:rFonts w:ascii="Times New Roman" w:eastAsia="Times New Roman" w:hAnsi="Times New Roman" w:cs="Times New Roman"/>
          <w:b/>
          <w:bCs/>
          <w:sz w:val="24"/>
          <w:szCs w:val="24"/>
          <w:lang w:val="en-US" w:eastAsia="it-IT"/>
        </w:rPr>
      </w:pPr>
      <w:r w:rsidRPr="00CF3C20">
        <w:rPr>
          <w:rFonts w:ascii="Times New Roman" w:eastAsia="Times New Roman" w:hAnsi="Times New Roman" w:cs="Times New Roman"/>
          <w:b/>
          <w:bCs/>
          <w:sz w:val="24"/>
          <w:szCs w:val="24"/>
          <w:lang w:val="en-US" w:eastAsia="it-IT"/>
        </w:rPr>
        <w:t>A.</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8" w:name="abs1"/>
      <w:r w:rsidRPr="00CF3C20">
        <w:rPr>
          <w:rFonts w:ascii="Times New Roman" w:eastAsia="Times New Roman" w:hAnsi="Times New Roman" w:cs="Times New Roman"/>
          <w:sz w:val="24"/>
          <w:szCs w:val="24"/>
          <w:lang w:val="en-US" w:eastAsia="it-IT"/>
        </w:rPr>
        <w:t>1</w:t>
      </w:r>
      <w:bookmarkEnd w:id="8"/>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Die Verfassungsbeschwerde wirft die Frage auf, ob sich juristische Personen mit Sitz außerhalb Deutschlands, jedoch in einem Mitgliedstaat der Europäischen Union auf Grundrechte des Grundgesetzes berufen können. Sie betrifft darüber hinaus die Beachtung des Grundrechts auf Eigentum bei der Auslegung und Anwendung nationalen, auf Unionsrecht beruhenden Rechts.</w:t>
      </w:r>
    </w:p>
    <w:p w:rsidR="00CF3C20" w:rsidRPr="00CF3C20" w:rsidRDefault="00CF3C20" w:rsidP="00CF3C20">
      <w:pPr>
        <w:spacing w:before="100" w:beforeAutospacing="1" w:after="100" w:afterAutospacing="1" w:line="240" w:lineRule="auto"/>
        <w:outlineLvl w:val="4"/>
        <w:rPr>
          <w:rFonts w:ascii="Times New Roman" w:eastAsia="Times New Roman" w:hAnsi="Times New Roman" w:cs="Times New Roman"/>
          <w:b/>
          <w:bCs/>
          <w:sz w:val="20"/>
          <w:szCs w:val="20"/>
          <w:lang w:val="en-US" w:eastAsia="it-IT"/>
        </w:rPr>
      </w:pPr>
      <w:r w:rsidRPr="00CF3C20">
        <w:rPr>
          <w:rFonts w:ascii="Times New Roman" w:eastAsia="Times New Roman" w:hAnsi="Times New Roman" w:cs="Times New Roman"/>
          <w:b/>
          <w:bCs/>
          <w:sz w:val="20"/>
          <w:szCs w:val="20"/>
          <w:lang w:val="en-US" w:eastAsia="it-IT"/>
        </w:rPr>
        <w:lastRenderedPageBreak/>
        <w:t>I.</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9" w:name="abs2"/>
      <w:r w:rsidRPr="00CF3C20">
        <w:rPr>
          <w:rFonts w:ascii="Times New Roman" w:eastAsia="Times New Roman" w:hAnsi="Times New Roman" w:cs="Times New Roman"/>
          <w:sz w:val="24"/>
          <w:szCs w:val="24"/>
          <w:lang w:val="en-US" w:eastAsia="it-IT"/>
        </w:rPr>
        <w:t>2</w:t>
      </w:r>
      <w:bookmarkEnd w:id="9"/>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1. Das mit der Verfassungsbeschwerde angegriffene Urteil des Bundesgerichtshofs betrifft die inhaltliche Reichweite des dem Urheber vorbehaltenen Verbreitungsrechts nach § 17 Urheberrechtsgesetz (UrhG) in der für das vorliegende Verfahren maßgeblichen Fassung vom 23. Juni 1995 (BGBl I S. 842) und nach § 96 UrhG in der Fassung vom 10. September 2003 (BGBl I S. 1774). Die Auslegungsfragen ergeben sich im Streitfall aus der Aufstellung von Nachbildungen von Le-Corbusier-Möbeln in einer Zigarrenlounge der Beklagten des Ausgangsverfahrens. Für Herstellung und Vertrieb der Möbel sind der Beschwerdeführerin urheberrechtliche Exklusivrechte eingeräumt.</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10" w:name="abs3"/>
      <w:r w:rsidRPr="00CF3C20">
        <w:rPr>
          <w:rFonts w:ascii="Times New Roman" w:eastAsia="Times New Roman" w:hAnsi="Times New Roman" w:cs="Times New Roman"/>
          <w:sz w:val="24"/>
          <w:szCs w:val="24"/>
          <w:lang w:val="en-US" w:eastAsia="it-IT"/>
        </w:rPr>
        <w:t>3</w:t>
      </w:r>
      <w:bookmarkEnd w:id="10"/>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a) § 17 UrhG erhielt durch das Dritte Gesetz zur Änderung des Urheberrechtsgesetzes vom 23. Juni 1995 (BGBl I S. 842) folgende Fassung:</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11" w:name="abs4"/>
      <w:r w:rsidRPr="00CF3C20">
        <w:rPr>
          <w:rFonts w:ascii="Times New Roman" w:eastAsia="Times New Roman" w:hAnsi="Times New Roman" w:cs="Times New Roman"/>
          <w:sz w:val="24"/>
          <w:szCs w:val="24"/>
          <w:lang w:val="en-US" w:eastAsia="it-IT"/>
        </w:rPr>
        <w:t>4</w:t>
      </w:r>
      <w:bookmarkEnd w:id="11"/>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Verbreitungsrecht</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12" w:name="abs5"/>
      <w:r w:rsidRPr="00CF3C20">
        <w:rPr>
          <w:rFonts w:ascii="Times New Roman" w:eastAsia="Times New Roman" w:hAnsi="Times New Roman" w:cs="Times New Roman"/>
          <w:sz w:val="24"/>
          <w:szCs w:val="24"/>
          <w:lang w:val="en-US" w:eastAsia="it-IT"/>
        </w:rPr>
        <w:t>5</w:t>
      </w:r>
      <w:bookmarkEnd w:id="12"/>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(1) Das Verbreitungsrecht ist das Recht, das Original oder Vervielfältigungsstücke des Werkes der Öffentlichkeit anzubieten oder in Verkehr zu bringen.</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13" w:name="abs6"/>
      <w:r w:rsidRPr="00CF3C20">
        <w:rPr>
          <w:rFonts w:ascii="Times New Roman" w:eastAsia="Times New Roman" w:hAnsi="Times New Roman" w:cs="Times New Roman"/>
          <w:sz w:val="24"/>
          <w:szCs w:val="24"/>
          <w:lang w:val="en-US" w:eastAsia="it-IT"/>
        </w:rPr>
        <w:t>6</w:t>
      </w:r>
      <w:bookmarkEnd w:id="13"/>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(2) Sind das Original oder Vervielfältigungsstücke des Werkes mit Zustimmung des zur Verbreitung Berechtigten im Gebiet der Europäischen Union oder eines anderen Vertragsstaates des Abkommens über den Europäischen Wirtschaftsraum im Wege der Veräußerung in Verkehr gebracht worden, so ist ihre Weiterverbreitung mit Ausnahme der Vermietung zulässig.</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14" w:name="abs7"/>
      <w:r w:rsidRPr="00CF3C20">
        <w:rPr>
          <w:rFonts w:ascii="Times New Roman" w:eastAsia="Times New Roman" w:hAnsi="Times New Roman" w:cs="Times New Roman"/>
          <w:sz w:val="24"/>
          <w:szCs w:val="24"/>
          <w:lang w:val="en-US" w:eastAsia="it-IT"/>
        </w:rPr>
        <w:t>7</w:t>
      </w:r>
      <w:bookmarkEnd w:id="14"/>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(3) Vermietung im Sinne der Vorschriften dieses Gesetzes ist die zeitlich begrenzte, unmittelbar oder mittelbar Erwerbszwecken dienende Gebrauchsüberlassung. Als Vermietung gilt jedoch nicht die Überlassung von Originalen oder Vervielfältigungsstücken</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15" w:name="abs8"/>
      <w:r w:rsidRPr="00CF3C20">
        <w:rPr>
          <w:rFonts w:ascii="Times New Roman" w:eastAsia="Times New Roman" w:hAnsi="Times New Roman" w:cs="Times New Roman"/>
          <w:sz w:val="24"/>
          <w:szCs w:val="24"/>
          <w:lang w:val="en-US" w:eastAsia="it-IT"/>
        </w:rPr>
        <w:t>8</w:t>
      </w:r>
      <w:bookmarkEnd w:id="15"/>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1. von Bauwerken und Werken der angewandten Kunst oder</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16" w:name="abs9"/>
      <w:r w:rsidRPr="00CF3C20">
        <w:rPr>
          <w:rFonts w:ascii="Times New Roman" w:eastAsia="Times New Roman" w:hAnsi="Times New Roman" w:cs="Times New Roman"/>
          <w:sz w:val="24"/>
          <w:szCs w:val="24"/>
          <w:lang w:val="en-US" w:eastAsia="it-IT"/>
        </w:rPr>
        <w:t>9</w:t>
      </w:r>
      <w:bookmarkEnd w:id="16"/>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2. im Rahmen eines Arbeits- oder Dienstverhältnisses zu dem ausschließlichen Zweck, bei der Erfüllung von Verpflichtungen aus dem Arbeits- oder Dienstverhältnis benutzt zu werden.</w:t>
      </w:r>
    </w:p>
    <w:p w:rsidR="00CF3C20" w:rsidRPr="00CF3C20" w:rsidRDefault="00CF3C20" w:rsidP="00CF3C20">
      <w:pPr>
        <w:spacing w:after="0" w:line="240" w:lineRule="auto"/>
        <w:rPr>
          <w:rFonts w:ascii="Times New Roman" w:eastAsia="Times New Roman" w:hAnsi="Times New Roman" w:cs="Times New Roman"/>
          <w:sz w:val="24"/>
          <w:szCs w:val="24"/>
          <w:lang w:val="fr-BE" w:eastAsia="it-IT"/>
        </w:rPr>
      </w:pPr>
      <w:bookmarkStart w:id="17" w:name="abs10"/>
      <w:r w:rsidRPr="00CF3C20">
        <w:rPr>
          <w:rFonts w:ascii="Times New Roman" w:eastAsia="Times New Roman" w:hAnsi="Times New Roman" w:cs="Times New Roman"/>
          <w:sz w:val="24"/>
          <w:szCs w:val="24"/>
          <w:lang w:val="fr-BE" w:eastAsia="it-IT"/>
        </w:rPr>
        <w:t>10</w:t>
      </w:r>
      <w:bookmarkEnd w:id="17"/>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fr-BE" w:eastAsia="it-IT"/>
        </w:rPr>
        <w:lastRenderedPageBreak/>
        <w:t xml:space="preserve">Die Gesetzesnovelle diente der Umsetzung der Richtlinie 92/100/EWG des Rates vom 19. November 1992 zum Vermietrecht und Verleihrecht sowie zu bestimmten dem Urheberrecht verwandten Schutzrechten im Bereich des geistigen Eigentums (ABl Nr. L 346 vom 27. November 1992, S. 61), inzwischen abgelöst durch die Richtlinie 2006/115/EG des Europäischen Parlaments und des Rates vom 12. Dezember 2006 (ABl Nr. </w:t>
      </w:r>
      <w:r w:rsidRPr="00CF3C20">
        <w:rPr>
          <w:rFonts w:ascii="Times New Roman" w:eastAsia="Times New Roman" w:hAnsi="Times New Roman" w:cs="Times New Roman"/>
          <w:sz w:val="24"/>
          <w:szCs w:val="24"/>
          <w:lang w:val="en-US" w:eastAsia="it-IT"/>
        </w:rPr>
        <w:t>L 376 vom 27. Dezember 2006, S. 28; im Folgenden: Vermiet- und Verleih-Richtlinie). Diese betrifft nach ihrem Art. 3 Abs. 2 ausdrücklich nicht das Vermieten oder Verleihen von Werken der angewandten Kunst.</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18" w:name="abs11"/>
      <w:r w:rsidRPr="00CF3C20">
        <w:rPr>
          <w:rFonts w:ascii="Times New Roman" w:eastAsia="Times New Roman" w:hAnsi="Times New Roman" w:cs="Times New Roman"/>
          <w:sz w:val="24"/>
          <w:szCs w:val="24"/>
          <w:lang w:val="en-US" w:eastAsia="it-IT"/>
        </w:rPr>
        <w:t>11</w:t>
      </w:r>
      <w:bookmarkEnd w:id="18"/>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In der Begründung des Gesetzentwurfs vom 21. Dezember 1994 (BTDrucks 13/115, S. 7, 12) wird der Begriff der Verbreitung vorausgesetzt. Er wurde stets weit verstanden als „jede Art des Inverkehrbringens von Werkstücken“ (vgl. die Einzelbegründung zu § 17 im Regierungsentwurf des Urheberrechtsgesetzes vom 23. März 1962, BTDrucks IV/270, S. 47 f.). Nach bis zum Erlass der angegriffenen Entscheidung allgemeiner Meinung bedeutete „Inverkehrbringen“ im Sinne von § 17 Abs. 1 UrhG jede Handlung, durch die das Original oder Vervielfältigungsstücke des Werks aus der internen Betriebssphäre der allgemeinen Öffentlichkeit zugeführt werden; dafür sollte jede Besitzüberlassung ausreichen (vgl. BGHZ 113, 159 &lt;160 ff.&gt;; Loewenheim, in: Schricker, Urheberrecht, 3. Aufl. 2006, § 17 Rn. 12 m.w.N.). Entsprechend beurteilte etwa das Kammergericht die Ausstattung von Hotelzimmern mit imitierten Le-Corbusier-Möbeln als Verletzung des Verbreitungsrechts und ließ dabei die Frage der bürgerlich-rechtlichen Besitzüberlassung offen (Urteil vom 30. April 1993 - 5 U 2548/91 -, GRUR 1996, S. 968 &lt;969 f.&gt;).</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19" w:name="abs12"/>
      <w:r w:rsidRPr="00CF3C20">
        <w:rPr>
          <w:rFonts w:ascii="Times New Roman" w:eastAsia="Times New Roman" w:hAnsi="Times New Roman" w:cs="Times New Roman"/>
          <w:sz w:val="24"/>
          <w:szCs w:val="24"/>
          <w:lang w:val="en-US" w:eastAsia="it-IT"/>
        </w:rPr>
        <w:t>12</w:t>
      </w:r>
      <w:bookmarkEnd w:id="19"/>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b) § 96 UrhG lautet:</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20" w:name="abs13"/>
      <w:r w:rsidRPr="00CF3C20">
        <w:rPr>
          <w:rFonts w:ascii="Times New Roman" w:eastAsia="Times New Roman" w:hAnsi="Times New Roman" w:cs="Times New Roman"/>
          <w:sz w:val="24"/>
          <w:szCs w:val="24"/>
          <w:lang w:val="en-US" w:eastAsia="it-IT"/>
        </w:rPr>
        <w:t>13</w:t>
      </w:r>
      <w:bookmarkEnd w:id="20"/>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Verwertungsverbot</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21" w:name="abs14"/>
      <w:r w:rsidRPr="00CF3C20">
        <w:rPr>
          <w:rFonts w:ascii="Times New Roman" w:eastAsia="Times New Roman" w:hAnsi="Times New Roman" w:cs="Times New Roman"/>
          <w:sz w:val="24"/>
          <w:szCs w:val="24"/>
          <w:lang w:val="en-US" w:eastAsia="it-IT"/>
        </w:rPr>
        <w:t>14</w:t>
      </w:r>
      <w:bookmarkEnd w:id="21"/>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(1) Rechtswidrig hergestellte Vervielfältigungsstücke dürfen weder verbreitet noch zu öffentlichen Wiedergaben benutzt werden.</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22" w:name="abs15"/>
      <w:r w:rsidRPr="00CF3C20">
        <w:rPr>
          <w:rFonts w:ascii="Times New Roman" w:eastAsia="Times New Roman" w:hAnsi="Times New Roman" w:cs="Times New Roman"/>
          <w:sz w:val="24"/>
          <w:szCs w:val="24"/>
          <w:lang w:val="en-US" w:eastAsia="it-IT"/>
        </w:rPr>
        <w:t>15</w:t>
      </w:r>
      <w:bookmarkEnd w:id="22"/>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(2) Rechtswidrig veranstaltete Funksendungen dürfen nicht auf Bild- oder Tonträger aufgenommen oder öffentlich wiedergegeben werden.</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23" w:name="abs16"/>
      <w:r w:rsidRPr="00CF3C20">
        <w:rPr>
          <w:rFonts w:ascii="Times New Roman" w:eastAsia="Times New Roman" w:hAnsi="Times New Roman" w:cs="Times New Roman"/>
          <w:sz w:val="24"/>
          <w:szCs w:val="24"/>
          <w:lang w:val="en-US" w:eastAsia="it-IT"/>
        </w:rPr>
        <w:t>16</w:t>
      </w:r>
      <w:bookmarkEnd w:id="23"/>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 xml:space="preserve">Diese mit Ausnahme der Überschrift wortgleich schon im Urheberrechtsgesetz vom 9. September 1965 (BGBl I S. 1273) enthaltene Vorschrift dient nach der Entwurfsbegründung der Klarstellung, dass derjenige, der aufgrund vertraglicher oder gesetzlicher Erlaubnis zur Verbreitung oder öffentlichen Wiedergabe eines Werks berechtigt ist, hierzu keine rechtswidrig hergestellten Vervielfältigungsstücke benutzen darf (vgl. die Einzelbegründung zu § 106, BTDrucks IV/270, S. 103). Als ein Hauptanwendungsfall wurde die Verbreitung von im Ausland rechtmäßig hergestellten und von dort importierten Vervielfältigungen in Deutschland angesehen, deren Herstellung hier rechtswidrig gewesen wäre (vgl. BGH, Urteil vom 6. Oktober 1994 - I ZR 155/90 </w:t>
      </w:r>
      <w:r w:rsidRPr="00CF3C20">
        <w:rPr>
          <w:rFonts w:ascii="Times New Roman" w:eastAsia="Times New Roman" w:hAnsi="Times New Roman" w:cs="Times New Roman"/>
          <w:sz w:val="24"/>
          <w:szCs w:val="24"/>
          <w:lang w:val="en-US" w:eastAsia="it-IT"/>
        </w:rPr>
        <w:lastRenderedPageBreak/>
        <w:t>„Cliff Richard II“ -, NJW 1995, S. 868 &lt;870&gt;; Meckel, in: Dreyer/Kotthoff/Meckel, Urheberrecht, 2. Aufl. 2009, § 96 Rn. 1).</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24" w:name="abs17"/>
      <w:r w:rsidRPr="00CF3C20">
        <w:rPr>
          <w:rFonts w:ascii="Times New Roman" w:eastAsia="Times New Roman" w:hAnsi="Times New Roman" w:cs="Times New Roman"/>
          <w:sz w:val="24"/>
          <w:szCs w:val="24"/>
          <w:lang w:val="en-US" w:eastAsia="it-IT"/>
        </w:rPr>
        <w:t>17</w:t>
      </w:r>
      <w:bookmarkEnd w:id="24"/>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c) § 97 Abs. 1 UrhG gibt dem Inhaber eines nach dem Urheberrechtsgesetz geschützten Rechts unter bestimmten Bedingungen einen Unterlassungsanspruch. Die Vorschrift lautet:</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25" w:name="abs18"/>
      <w:r w:rsidRPr="00CF3C20">
        <w:rPr>
          <w:rFonts w:ascii="Times New Roman" w:eastAsia="Times New Roman" w:hAnsi="Times New Roman" w:cs="Times New Roman"/>
          <w:sz w:val="24"/>
          <w:szCs w:val="24"/>
          <w:lang w:val="en-US" w:eastAsia="it-IT"/>
        </w:rPr>
        <w:t>18</w:t>
      </w:r>
      <w:bookmarkEnd w:id="25"/>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Anspruch auf Unterlassung und Schadensersatz</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26" w:name="abs19"/>
      <w:r w:rsidRPr="00CF3C20">
        <w:rPr>
          <w:rFonts w:ascii="Times New Roman" w:eastAsia="Times New Roman" w:hAnsi="Times New Roman" w:cs="Times New Roman"/>
          <w:sz w:val="24"/>
          <w:szCs w:val="24"/>
          <w:lang w:val="en-US" w:eastAsia="it-IT"/>
        </w:rPr>
        <w:t>19</w:t>
      </w:r>
      <w:bookmarkEnd w:id="26"/>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(1) Wer das Urheberrecht oder ein anderes nach diesem Gesetz geschütztes Recht widerrechtlich verletzt, kann von dem Verletzten auf Beseitigung der Beeinträchtigung, bei Wiederholungsgefahr auf Unterlassung in Anspruch genommen werden. …</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27" w:name="abs20"/>
      <w:r w:rsidRPr="00CF3C20">
        <w:rPr>
          <w:rFonts w:ascii="Times New Roman" w:eastAsia="Times New Roman" w:hAnsi="Times New Roman" w:cs="Times New Roman"/>
          <w:sz w:val="24"/>
          <w:szCs w:val="24"/>
          <w:lang w:val="en-US" w:eastAsia="it-IT"/>
        </w:rPr>
        <w:t>20</w:t>
      </w:r>
      <w:bookmarkEnd w:id="27"/>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2. a) § 17 UrhG dient zugleich der Umsetzung der Richtlinie 2001/29/EG des Europäischen Parlaments und des Rates vom 22. Mai 2001 zur Harmonisierung bestimmter Aspekte des Urheberrechts und der verwandten Schutzrechte in der Informationsgesellschaft (ABl Nr. L 167 vom 22. Juni 2001, S. 10; im Folgenden: Urheberrechtsrichtlinie). Diese hat ihre Rechtsgrundlage in den Vorschriften über die Rechtskoordinierung und -angleichung im Binnenmarkt (Art. 47 Abs. 2, Art. 55, Art. 95 EG, heute Art. 53 Abs. 1, Art. 62, Art. 114 des Vertrags über die Arbeitsweise der Europäischen Union - AEUV). Ihr Harmonisierungszweck wird insbesondere in den Erwägungsgründen 1, 3, 4, 6 und 7 angesprochen, während in den Erwägungsgründen 4, 9 bis 12 und 22 das angestrebte hohe Schutzniveau im Bereich des geistigen Eigentums betont wird.</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28" w:name="abs21"/>
      <w:r w:rsidRPr="00CF3C20">
        <w:rPr>
          <w:rFonts w:ascii="Times New Roman" w:eastAsia="Times New Roman" w:hAnsi="Times New Roman" w:cs="Times New Roman"/>
          <w:sz w:val="24"/>
          <w:szCs w:val="24"/>
          <w:lang w:val="en-US" w:eastAsia="it-IT"/>
        </w:rPr>
        <w:t>21</w:t>
      </w:r>
      <w:bookmarkEnd w:id="28"/>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Die Urheberrechtsrichtlinie dient, wie sich aus ihrem Erwägungsgrund 15 ergibt, zugleich der Umsetzung zweier völkerrechtlicher Verträge vom 20. Dezember 1996, nämlich des WIPO-Urheberrechtsvertrags (WCT; UNTS Bd. 2186, S. 121; ABl Nr. L 89 [2000], S. 6; BGBl 2003 II S. 754, in Kraft getreten am 6. März 2002, für Deutschland und die Europäische Union am 14. März 2010) und des WIPO-Vertrags über Darbietungen und Tonträger (WPPT; UNTS Bd. 2186, S. 203; ABl Nr. L 89 [2000], S. 6; BGBl 2003 II S. 754, 770, in Kraft getreten am 20. Mai 2002, für Deutschland und die Europäische Union am 14. März 2010). Ausweislich ihrer Präambeln sollen die Verträge insbesondere die Rechte von Autoren, darbietenden Künstlern und Tonträgerherstellern erhalten und weiterentwickeln.</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29" w:name="abs22"/>
      <w:r w:rsidRPr="00CF3C20">
        <w:rPr>
          <w:rFonts w:ascii="Times New Roman" w:eastAsia="Times New Roman" w:hAnsi="Times New Roman" w:cs="Times New Roman"/>
          <w:sz w:val="24"/>
          <w:szCs w:val="24"/>
          <w:lang w:val="en-US" w:eastAsia="it-IT"/>
        </w:rPr>
        <w:t>22</w:t>
      </w:r>
      <w:bookmarkEnd w:id="29"/>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b) Die Urheberrechtsrichtlinie regelt das Verbreitungsrecht in ihrem Artikel 4:</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30" w:name="abs23"/>
      <w:r w:rsidRPr="00CF3C20">
        <w:rPr>
          <w:rFonts w:ascii="Times New Roman" w:eastAsia="Times New Roman" w:hAnsi="Times New Roman" w:cs="Times New Roman"/>
          <w:sz w:val="24"/>
          <w:szCs w:val="24"/>
          <w:lang w:val="en-US" w:eastAsia="it-IT"/>
        </w:rPr>
        <w:t>23</w:t>
      </w:r>
      <w:bookmarkEnd w:id="30"/>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Verbreitungsrecht</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31" w:name="abs24"/>
      <w:r w:rsidRPr="00CF3C20">
        <w:rPr>
          <w:rFonts w:ascii="Times New Roman" w:eastAsia="Times New Roman" w:hAnsi="Times New Roman" w:cs="Times New Roman"/>
          <w:sz w:val="24"/>
          <w:szCs w:val="24"/>
          <w:lang w:val="en-US" w:eastAsia="it-IT"/>
        </w:rPr>
        <w:t>24</w:t>
      </w:r>
      <w:bookmarkEnd w:id="31"/>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lastRenderedPageBreak/>
        <w:t>(1) Die Mitgliedstaaten sehen vor, dass den Urhebern in Bezug auf das Original ihrer Werke oder auf Vervielfältigungsstücke davon das ausschließliche Recht zusteht, die Verbreitung an die Öffentlichkeit in beliebiger Form durch Verkauf oder auf sonstige Weise zu erlauben oder zu verbieten.</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32" w:name="abs25"/>
      <w:r w:rsidRPr="00CF3C20">
        <w:rPr>
          <w:rFonts w:ascii="Times New Roman" w:eastAsia="Times New Roman" w:hAnsi="Times New Roman" w:cs="Times New Roman"/>
          <w:sz w:val="24"/>
          <w:szCs w:val="24"/>
          <w:lang w:val="en-US" w:eastAsia="it-IT"/>
        </w:rPr>
        <w:t>25</w:t>
      </w:r>
      <w:bookmarkEnd w:id="32"/>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(2) Das Verbreitungsrecht erschöpft sich in der Gemeinschaft in Bezug auf das Original oder auf Vervielfältigungsstücke eines Werks nur, wenn der Erstverkauf dieses Gegenstands oder eine andere erstmalige Eigentumsübertragung in der Gemeinschaft durch den Rechtsinhaber oder mit dessen Zustimmung erfolgt.</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33" w:name="abs26"/>
      <w:r w:rsidRPr="00CF3C20">
        <w:rPr>
          <w:rFonts w:ascii="Times New Roman" w:eastAsia="Times New Roman" w:hAnsi="Times New Roman" w:cs="Times New Roman"/>
          <w:sz w:val="24"/>
          <w:szCs w:val="24"/>
          <w:lang w:val="en-US" w:eastAsia="it-IT"/>
        </w:rPr>
        <w:t>26</w:t>
      </w:r>
      <w:bookmarkEnd w:id="33"/>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Zur Auslegung von Art. 4 Abs. 1 der Urheberrechtsrichtlinie holte der Bundesgerichtshof in einem Parallelverfahren zum hiesigen Ausgangsverfahren mit Beschluss vom 5. Oktober 2006 - I ZR 247/03 - (GRUR 2007, S. 50) eine Vorabentscheidung des Gerichtshofs der Europäischen Union (im Folgenden: Europäischer Gerichtshof) gemäß Art. 267 AEUV unter anderem zu der Frage ein, ob von einer Verbreitung an die Öffentlichkeit in beliebiger Form auf sonstige Weise auszugehen ist, wenn Dritten der Gebrauch von Werkstücken urheberrechtlich geschützter Werke ermöglicht wird, ohne dass mit der Gebrauchsüberlassung eine Übertragung der tatsächlichen Verfügungsgewalt über die Werkstücke verbunden ist. Gegenstand dieses Verfahrens, das ebenfalls die Beschwerdeführerin des vorliegenden Verfahrens eingeleitet hatte, war das Aufstellen in Italien erworbener Imitate von Le-Corbusier-Möbeln zur Benutzung durch Kunden in der Ruhezone eines Kaufhauses und zu Dekorationszwecken in dessen Schaufenstern.</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34" w:name="abs27"/>
      <w:r w:rsidRPr="00CF3C20">
        <w:rPr>
          <w:rFonts w:ascii="Times New Roman" w:eastAsia="Times New Roman" w:hAnsi="Times New Roman" w:cs="Times New Roman"/>
          <w:sz w:val="24"/>
          <w:szCs w:val="24"/>
          <w:lang w:val="en-US" w:eastAsia="it-IT"/>
        </w:rPr>
        <w:t>27</w:t>
      </w:r>
      <w:bookmarkEnd w:id="34"/>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In seinem Vorlagebeschluss verwies der Bundesgerichtshof auf seine Rechtsprechung, derzufolge ein Verbreiten im Sinne von Art. 4 Abs. 1 der Urheberrechtsrichtlinie regelmäßig vorliege, wenn das Original oder Vervielfältigungsstücke des Werks aus der internen Betriebssphäre durch Überlassung des Eigentums oder des (auch vorübergehenden) Besitzes der Öffentlichkeit zugeführt würden (a.a.O., &lt;51&gt;). Als noch nicht geklärt sah der Bundesgerichtshof die Frage an, ob dies auch gelte, wenn Werkstücke ohne Übertragung des Eigentums oder des Besitzes und damit ohne Übertragung der tatsächlichen Verfügungsgewalt der Öffentlichkeit zugänglich gemacht würden. Seiner Ansicht nach sei dies aufgrund des Wortlauts von Art. 4 Abs. 1 der Urheberrechtsrichtlinie und der ein hohes Schutzniveau verlangenden Erwägungsgründe zu bejahen (a.a.O., &lt;52&gt;).</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35" w:name="abs28"/>
      <w:r w:rsidRPr="00CF3C20">
        <w:rPr>
          <w:rFonts w:ascii="Times New Roman" w:eastAsia="Times New Roman" w:hAnsi="Times New Roman" w:cs="Times New Roman"/>
          <w:sz w:val="24"/>
          <w:szCs w:val="24"/>
          <w:lang w:val="en-US" w:eastAsia="it-IT"/>
        </w:rPr>
        <w:t>28</w:t>
      </w:r>
      <w:bookmarkEnd w:id="35"/>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Der Europäische Gerichtshof entschied indessen, dass eine Verbreitung im Sinne der Richtlinie nur bei einer Übertragung des Eigentums vorliege (Urteil vom 17. April 2008 - C-456/06 Peek&amp;Cloppenburg/Cassina -, Slg. 2008, S. I-2731, Rn. 41). Zur Begründung führte er aus (Rn. 29 ff.), die Richtlinie präzisiere den Begriff der Verbreitung nicht, er werde aber in Art. 6 Abs. 1 WCT und in Art. 8 Abs. 1 und Art. 12 Abs. 1 WPPT definiert. Die Urheberrechtsrichtlinie diene ausweislich ihres Erwägungsgrundes 15 dazu, den Verpflichtungen der Gemeinschaft aus diesen Verträgen nachzukommen, denen zufolge eine Verbreitung nur bei einer Eigentumsübertragung vorliege. Art. 4 Abs. 1 der Urheberrechtsrichtlinie sei daher ebenso auszulegen. Diese Schlussfolgerungen würden durch die Erwägungsgründe 9 bis 11 der Richtlinie nicht entkräftet; ein hohes Schutzniveau könne nur in dem vom Gemeinschaftsgesetzgeber geschaffenen Rahmen verwirklicht werden (Rn. 37 ff.).</w:t>
      </w:r>
    </w:p>
    <w:p w:rsidR="00CF3C20" w:rsidRPr="00CF3C20" w:rsidRDefault="00CF3C20" w:rsidP="00CF3C20">
      <w:pPr>
        <w:spacing w:before="100" w:beforeAutospacing="1" w:after="100" w:afterAutospacing="1" w:line="240" w:lineRule="auto"/>
        <w:outlineLvl w:val="4"/>
        <w:rPr>
          <w:rFonts w:ascii="Times New Roman" w:eastAsia="Times New Roman" w:hAnsi="Times New Roman" w:cs="Times New Roman"/>
          <w:b/>
          <w:bCs/>
          <w:sz w:val="20"/>
          <w:szCs w:val="20"/>
          <w:lang w:val="en-US" w:eastAsia="it-IT"/>
        </w:rPr>
      </w:pPr>
      <w:r w:rsidRPr="00CF3C20">
        <w:rPr>
          <w:rFonts w:ascii="Times New Roman" w:eastAsia="Times New Roman" w:hAnsi="Times New Roman" w:cs="Times New Roman"/>
          <w:b/>
          <w:bCs/>
          <w:sz w:val="20"/>
          <w:szCs w:val="20"/>
          <w:lang w:val="en-US" w:eastAsia="it-IT"/>
        </w:rPr>
        <w:lastRenderedPageBreak/>
        <w:t>II.</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36" w:name="abs29"/>
      <w:r w:rsidRPr="00CF3C20">
        <w:rPr>
          <w:rFonts w:ascii="Times New Roman" w:eastAsia="Times New Roman" w:hAnsi="Times New Roman" w:cs="Times New Roman"/>
          <w:sz w:val="24"/>
          <w:szCs w:val="24"/>
          <w:lang w:val="en-US" w:eastAsia="it-IT"/>
        </w:rPr>
        <w:t>29</w:t>
      </w:r>
      <w:bookmarkEnd w:id="36"/>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1. Die Beschwerdeführerin, eine Gesellschaft mit beschränkter Haftung nach italienischem Recht mit Sitz in Italien, produziert Polstermöbel, die nach Entwürfen des 1965 verstorbenen Charles-Édouard Jeanneret-Gris, genannt Le Corbusier, gefertigt sind. Zwischen ihr und der Fondation Le Corbusier in Paris, welche die Rechte des verstorbenen Urhebers wahrnimmt, sowie zwei weiteren Rechtsnachfolgerinnen Le Corbusiers bestehen seit 1965 urheberrechtliche Exklusivverträge für die weltweite Herstellung und den Verkauf bestimmter von Le Corbusier entworfener Möbel. Die Verträge erlauben der Beschwerdeführerin auch das Vorgehen gegen Rechtsverletzungen.</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37" w:name="abs30"/>
      <w:r w:rsidRPr="00CF3C20">
        <w:rPr>
          <w:rFonts w:ascii="Times New Roman" w:eastAsia="Times New Roman" w:hAnsi="Times New Roman" w:cs="Times New Roman"/>
          <w:sz w:val="24"/>
          <w:szCs w:val="24"/>
          <w:lang w:val="en-US" w:eastAsia="it-IT"/>
        </w:rPr>
        <w:t>30</w:t>
      </w:r>
      <w:bookmarkEnd w:id="37"/>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Die Beklagte des Ausgangsverfahrens, eine Zigarrenherstellerin, richtete in einer Kunst- und Ausstellungshalle eine Zigarrenlounge ein. Sie erwarb bei einer in Bologna geschäftsansässigen Firma (zugleich Streithelferin der Beklagten im Ausgangsverfahren) Nachbildungen von Sesseln und Sofas der Le-Corbusier-Möbel und stellte diese in der Lounge auf. Urheberrechtliche Nutzungsrechte an den Möbelmodellen sind der Streithelferin nicht eingeräumt.</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38" w:name="abs31"/>
      <w:r w:rsidRPr="00CF3C20">
        <w:rPr>
          <w:rFonts w:ascii="Times New Roman" w:eastAsia="Times New Roman" w:hAnsi="Times New Roman" w:cs="Times New Roman"/>
          <w:sz w:val="24"/>
          <w:szCs w:val="24"/>
          <w:lang w:val="en-US" w:eastAsia="it-IT"/>
        </w:rPr>
        <w:t>31</w:t>
      </w:r>
      <w:bookmarkEnd w:id="38"/>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Die Beschwerdeführerin erwirkte beim Landgericht und beim Oberlandesgericht eine Verurteilung der Beklagten, es zu unterlassen, von ihr nicht genehmigte Nachbildungen urheberrechtlich geschützter Le-Corbusier-Möbelmodelle in der Bundesrepublik Deutschland zu verwerten, insbesondere in der genannten Zigarrenlounge aufzustellen und gewerblich zu benutzen. Die Gerichte stützten den Unterlassungsanspruch auf § 97 Abs. 1 in Verbindung mit § 17 Abs. 1 UrhG und legten dabei einen weiten Begriff der Verbreitung zugrunde. Leitender Grundgedanke sei die tunlichst angemessene Beteiligung des Urhebers am wirtschaftlichen Nutzen seines Werks. Demgemäß solle der Urheber möglichst umfassend an jedem neuen Verwertungsvorgang teilhaben. Eine Besitzübertragung im Sinne von §§ 854 ff. BGB sei dafür nicht erforderlich, die rein tatsächliche Überlassung an die Kunden der Zigarrenlounge genüge.</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39" w:name="abs32"/>
      <w:r w:rsidRPr="00CF3C20">
        <w:rPr>
          <w:rFonts w:ascii="Times New Roman" w:eastAsia="Times New Roman" w:hAnsi="Times New Roman" w:cs="Times New Roman"/>
          <w:sz w:val="24"/>
          <w:szCs w:val="24"/>
          <w:lang w:val="en-US" w:eastAsia="it-IT"/>
        </w:rPr>
        <w:t>32</w:t>
      </w:r>
      <w:bookmarkEnd w:id="39"/>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Gegen die Nichtzulassung der Revision durch das Oberlandesgericht erhob die Streithelferin der Beklagten Beschwerde zum Bundesgerichtshof.</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40" w:name="abs33"/>
      <w:r w:rsidRPr="00CF3C20">
        <w:rPr>
          <w:rFonts w:ascii="Times New Roman" w:eastAsia="Times New Roman" w:hAnsi="Times New Roman" w:cs="Times New Roman"/>
          <w:sz w:val="24"/>
          <w:szCs w:val="24"/>
          <w:lang w:val="en-US" w:eastAsia="it-IT"/>
        </w:rPr>
        <w:t>33</w:t>
      </w:r>
      <w:bookmarkEnd w:id="40"/>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2. In dem Verfahren über die Nichtzulassungsbeschwerde stellte der Bundesgerichtshof die Entscheidung im Hinblick auf das in dem oben genannten Parallelverfahren eingeleitete Vorabentscheidungsverfahren nach Art. 267 AEUV zunächst zurück.</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41" w:name="abs34"/>
      <w:r w:rsidRPr="00CF3C20">
        <w:rPr>
          <w:rFonts w:ascii="Times New Roman" w:eastAsia="Times New Roman" w:hAnsi="Times New Roman" w:cs="Times New Roman"/>
          <w:sz w:val="24"/>
          <w:szCs w:val="24"/>
          <w:lang w:val="en-US" w:eastAsia="it-IT"/>
        </w:rPr>
        <w:t>34</w:t>
      </w:r>
      <w:bookmarkEnd w:id="41"/>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 xml:space="preserve">Nach dem Urteil des Europäischen Gerichtshofs im Parallelverfahren vom 17. April 2008 (a.a.O.) ließ der Bundesgerichtshof die Revision im Ausgangsverfahren zu. Mit dem angegriffenen Urteil vom 22. Januar 2009 (ZUM-RD 2009, S. 531) hob er das Urteil des Oberlandesgerichts auf und wies die Klage unter Abänderung der landgerichtlichen Entscheidung ab. Im Parallelverfahren </w:t>
      </w:r>
      <w:r w:rsidRPr="00CF3C20">
        <w:rPr>
          <w:rFonts w:ascii="Times New Roman" w:eastAsia="Times New Roman" w:hAnsi="Times New Roman" w:cs="Times New Roman"/>
          <w:sz w:val="24"/>
          <w:szCs w:val="24"/>
          <w:lang w:val="en-US" w:eastAsia="it-IT"/>
        </w:rPr>
        <w:lastRenderedPageBreak/>
        <w:t>entschied der Bundesgerichtshof in gleicher Weise (Urteil vom 22. Januar 2009 - I ZR 247/03 -, GRUR 2009, S. 840).</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42" w:name="abs35"/>
      <w:r w:rsidRPr="00CF3C20">
        <w:rPr>
          <w:rFonts w:ascii="Times New Roman" w:eastAsia="Times New Roman" w:hAnsi="Times New Roman" w:cs="Times New Roman"/>
          <w:sz w:val="24"/>
          <w:szCs w:val="24"/>
          <w:lang w:val="en-US" w:eastAsia="it-IT"/>
        </w:rPr>
        <w:t>35</w:t>
      </w:r>
      <w:bookmarkEnd w:id="42"/>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Zur Begründung führte der Bundesgerichtshof aus, der Beschwerdeführerin stehe ein Unterlassungsanspruch aus § 97 Abs. 1 UrhG nicht zu, denn die Beklagte habe das Verbreitungsrecht im Sinne von § 15 Abs. 1 Nr. 2, § 17 Abs. 1 UrhG durch das Aufstellen der Möbel nicht verletzt und auch nicht gegen das Verwertungsverbot nach § 96 UrhG verstoßen.</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43" w:name="abs36"/>
      <w:r w:rsidRPr="00CF3C20">
        <w:rPr>
          <w:rFonts w:ascii="Times New Roman" w:eastAsia="Times New Roman" w:hAnsi="Times New Roman" w:cs="Times New Roman"/>
          <w:sz w:val="24"/>
          <w:szCs w:val="24"/>
          <w:lang w:val="en-US" w:eastAsia="it-IT"/>
        </w:rPr>
        <w:t>36</w:t>
      </w:r>
      <w:bookmarkEnd w:id="43"/>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a) Da es sich bei dem Verbreitungsrecht nach Art. 4 Abs. 1 der Urheberrechtsrichtlinie um harmonisiertes Recht handele, sei § 17 UrhG richtlinienkonform auszulegen. Die Richtlinie begründe insoweit nicht nur einen Mindestschutz, hinter dem die Mitgliedstaaten bei der Bestimmung ihres Schutzniveaus nicht zurückbleiben dürften, sondern stelle eine verbindliche Regelung des Verbreitungsrechts auch im Sinne eines Maximalschutzes dar. Dies folge aus dem Zweck der Richtlinie, unterschiedliche einzelstaatliche Rechtsvorschriften über das Urheberrecht und verwandte Schutzrechte im Interesse der Rechtssicherheit und der Funktionsfähigkeit des Binnenmarkts anzupassen und ein uneinheitliches Vorgehen der Mitgliedstaaten zu vermeiden. Die zum Teil im Schrifttum vertretene gegenteilige Ansicht stelle darauf ab, dass die Regelungen des Verbreitungsrechts in den WIPO-Verträgen nur Mindestrechte gewährten und es den Vertragsstaaten unbenommen bleibe, über diesen Mindestschutz hinauszugehen. Die sich daraus ergebenden Folgerungen beträfen aber nur die Auslegung der Vorschrift des Art. 4 Abs. 1 der Urheberrechtsrichtlinie und damit die vom Europäischen Gerichtshof nunmehr bejahte Frage, ob eine Verbreitung im Sinne dieser Richtlinienbestimmung nur bei einer Übertragung des Eigentums vorliege.</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44" w:name="abs37"/>
      <w:r w:rsidRPr="00CF3C20">
        <w:rPr>
          <w:rFonts w:ascii="Times New Roman" w:eastAsia="Times New Roman" w:hAnsi="Times New Roman" w:cs="Times New Roman"/>
          <w:sz w:val="24"/>
          <w:szCs w:val="24"/>
          <w:lang w:val="en-US" w:eastAsia="it-IT"/>
        </w:rPr>
        <w:t>37</w:t>
      </w:r>
      <w:bookmarkEnd w:id="44"/>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Aufgrund der Rechtsprechung des Europäischen Gerichtshofs gelte, dass ein Dritter nicht in das ausschließlich dem Urheber nach § 15 Abs. 1 Nr. 2, § 17 Abs. 1 UrhG zustehende Verbreitungsrecht eingreife, wenn er Nachbildungen urheberrechtlich geschützter Modelle von Möbeln der Öffentlichkeit lediglich zum Gebrauch zugänglich mache.</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45" w:name="abs38"/>
      <w:r w:rsidRPr="00CF3C20">
        <w:rPr>
          <w:rFonts w:ascii="Times New Roman" w:eastAsia="Times New Roman" w:hAnsi="Times New Roman" w:cs="Times New Roman"/>
          <w:sz w:val="24"/>
          <w:szCs w:val="24"/>
          <w:lang w:val="en-US" w:eastAsia="it-IT"/>
        </w:rPr>
        <w:t>38</w:t>
      </w:r>
      <w:bookmarkEnd w:id="45"/>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b) Die geltend gemachten Ansprüche stünden der Beschwerdeführerin auch nicht wegen Verletzung des Verwertungsverbots aus § 96 Abs. 1 UrhG zu. Nach dieser Vorschrift dürften rechtswidrig hergestellte Vervielfältigungsstücke nicht verbreitet werden. Eine unmittelbare Anwendung des § 96 Abs. 1 UrhG scheide aus, weil der Begriff der Verbreitung demjenigen des § 17 UrhG entspreche und dessen Voraussetzungen nicht vorlägen. Für eine analoge Anwendung fehle es an der erforderlichen planwidrigen Regelungslücke. Nach der Entscheidung des Europäischen Gerichtshofs habe der Gemeinschaftsgesetzgeber das Verbreitungsrecht bewusst auf Sachverhalte beschränkt, die mit der Übertragung des Eigentums des Originals des Werks oder eines Vervielfältigungsstücks verbunden seien.</w:t>
      </w:r>
    </w:p>
    <w:p w:rsidR="00CF3C20" w:rsidRPr="00CF3C20" w:rsidRDefault="00CF3C20" w:rsidP="00CF3C20">
      <w:pPr>
        <w:spacing w:before="100" w:beforeAutospacing="1" w:after="100" w:afterAutospacing="1" w:line="240" w:lineRule="auto"/>
        <w:outlineLvl w:val="4"/>
        <w:rPr>
          <w:rFonts w:ascii="Times New Roman" w:eastAsia="Times New Roman" w:hAnsi="Times New Roman" w:cs="Times New Roman"/>
          <w:b/>
          <w:bCs/>
          <w:sz w:val="20"/>
          <w:szCs w:val="20"/>
          <w:lang w:val="en-US" w:eastAsia="it-IT"/>
        </w:rPr>
      </w:pPr>
      <w:r w:rsidRPr="00CF3C20">
        <w:rPr>
          <w:rFonts w:ascii="Times New Roman" w:eastAsia="Times New Roman" w:hAnsi="Times New Roman" w:cs="Times New Roman"/>
          <w:b/>
          <w:bCs/>
          <w:sz w:val="20"/>
          <w:szCs w:val="20"/>
          <w:lang w:val="en-US" w:eastAsia="it-IT"/>
        </w:rPr>
        <w:t>III.</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46" w:name="abs39"/>
      <w:r w:rsidRPr="00CF3C20">
        <w:rPr>
          <w:rFonts w:ascii="Times New Roman" w:eastAsia="Times New Roman" w:hAnsi="Times New Roman" w:cs="Times New Roman"/>
          <w:sz w:val="24"/>
          <w:szCs w:val="24"/>
          <w:lang w:val="en-US" w:eastAsia="it-IT"/>
        </w:rPr>
        <w:t>39</w:t>
      </w:r>
      <w:bookmarkEnd w:id="46"/>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lastRenderedPageBreak/>
        <w:t>Mit ihrer Verfassungsbeschwerde rügt die Beschwerdeführerin eine Verletzung ihrer Rechte aus Art. 14 Abs. 1 und Art. 101 Abs. 1 Satz 2 GG.</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47" w:name="abs40"/>
      <w:r w:rsidRPr="00CF3C20">
        <w:rPr>
          <w:rFonts w:ascii="Times New Roman" w:eastAsia="Times New Roman" w:hAnsi="Times New Roman" w:cs="Times New Roman"/>
          <w:sz w:val="24"/>
          <w:szCs w:val="24"/>
          <w:lang w:val="en-US" w:eastAsia="it-IT"/>
        </w:rPr>
        <w:t>40</w:t>
      </w:r>
      <w:bookmarkEnd w:id="47"/>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1. Die Beschwerdeführerin hält sich für beschwerdebefugt. Als ausländische juristische Person mit Sitz in einem EU-Mitgliedstaat könne sie ungeachtet Art. 19 Abs. 3 GG auch eine Verletzung ihres Eigentumsgrundrechts rügen. Dabei sei auch ohne Bedeutung, dass sie nicht selbst als Urheberin, sondern nur aufgrund vertraglicher Absprachen mit der Fondation Le Corbusier berechtigt sei.</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48" w:name="abs41"/>
      <w:r w:rsidRPr="00CF3C20">
        <w:rPr>
          <w:rFonts w:ascii="Times New Roman" w:eastAsia="Times New Roman" w:hAnsi="Times New Roman" w:cs="Times New Roman"/>
          <w:sz w:val="24"/>
          <w:szCs w:val="24"/>
          <w:lang w:val="en-US" w:eastAsia="it-IT"/>
        </w:rPr>
        <w:t>41</w:t>
      </w:r>
      <w:bookmarkEnd w:id="48"/>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2. Das angegriffene Urteil verletze Art. 14 Abs. 1 GG.</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49" w:name="abs42"/>
      <w:r w:rsidRPr="00CF3C20">
        <w:rPr>
          <w:rFonts w:ascii="Times New Roman" w:eastAsia="Times New Roman" w:hAnsi="Times New Roman" w:cs="Times New Roman"/>
          <w:sz w:val="24"/>
          <w:szCs w:val="24"/>
          <w:lang w:val="en-US" w:eastAsia="it-IT"/>
        </w:rPr>
        <w:t>42</w:t>
      </w:r>
      <w:bookmarkEnd w:id="49"/>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a) Die Auslegung von § 17 Abs. 1 UrhG durch den Bundesgerichtshof habe zur Folge, dass der Urheber andere Verbreitungsformen als die Eigentumsübertragung nicht mehr unterbinden könne. Mit der verfassungsrechtlichen Rechtfertigung dieses Eingriffs habe sich der Bundesgerichtshof nicht befasst, weil er davon ausgegangen sei, europarechtlich an diese Auslegung gebunden zu sein. Dabei habe er übersehen, dass Verbreitungsformen, die nicht in einer Eigentumsübertragung bestehen, von vornherein nicht vom Regelungsbereich der Urheberrechtsrichtlinie erfasst seien, so dass die Auslegung des nationalen Rechts insoweit durch die Richtlinie nicht determiniert werde. Wollte man dies anders sehen, hätte der Bundesgerichtshof jedenfalls nicht von einem Maximalschutzcharakter der Richtlinie ausgehen dürfen. Die Urheberrechtsrichtlinie regle nur einen Mindestschutz, wie sich aus ihren Erwägungsgründen 9 bis 12 ergebe. § 17 Abs. 1 UrhG hätte verfassungskonform so ausgelegt werden müssen, dass auch die Besitz- und Gebrauchsüberlassung erfasst würde. Dies entspreche der jahrzehntelangen Rechtsprechung des Bundesgerichtshofs (bis zur angegriffenen Entscheidung) und der Obergerichte sowie der Auffassung des deutschen Gesetzgebers.</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50" w:name="abs43"/>
      <w:r w:rsidRPr="00CF3C20">
        <w:rPr>
          <w:rFonts w:ascii="Times New Roman" w:eastAsia="Times New Roman" w:hAnsi="Times New Roman" w:cs="Times New Roman"/>
          <w:sz w:val="24"/>
          <w:szCs w:val="24"/>
          <w:lang w:val="en-US" w:eastAsia="it-IT"/>
        </w:rPr>
        <w:t>43</w:t>
      </w:r>
      <w:bookmarkEnd w:id="50"/>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Die Auslegung durch den Bundesgerichtshof führe dazu, dass der Kernbestand des Urheberrechts, nämlich über die Rechte am Werk in eigener Verantwortung verfügen und Dritte von der Nutzung des Werks ausschließen zu können, nicht mehr gewährleistet sei. Die Streithelferin umgehe bewusst das deutsche Urheberrecht, indem sie ihre Plagiate in Italien veräußere und vom Käufer nach Deutschland schaffen lasse. Die Gebrauchs- oder Besitzüberlassung in Deutschland werde damit zum einzigen Rechtsakt, auf den der Urheber Zugriff habe oder nach bisheriger Rechtsprechung gehabt habe.</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51" w:name="abs44"/>
      <w:r w:rsidRPr="00CF3C20">
        <w:rPr>
          <w:rFonts w:ascii="Times New Roman" w:eastAsia="Times New Roman" w:hAnsi="Times New Roman" w:cs="Times New Roman"/>
          <w:sz w:val="24"/>
          <w:szCs w:val="24"/>
          <w:lang w:val="en-US" w:eastAsia="it-IT"/>
        </w:rPr>
        <w:t>44</w:t>
      </w:r>
      <w:bookmarkEnd w:id="51"/>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b) Die Argumentation des Bundesgerichtshofs sei auch im Hinblick auf § 96 UrhG nicht tragfähig. Die Vorschrift bezwecke gerade, dass kein Dritter das Ergebnis einer rechtswidrigen Handlung für sich ausnutzen könne. Der Bundesgerichtshof dürfe nicht auf den Willen des Gemeinschaftsgesetzgebers abstellen, denn § 96 UrhG sei nicht gemeinschaftsrechtlich harmonisiert.</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52" w:name="abs45"/>
      <w:r w:rsidRPr="00CF3C20">
        <w:rPr>
          <w:rFonts w:ascii="Times New Roman" w:eastAsia="Times New Roman" w:hAnsi="Times New Roman" w:cs="Times New Roman"/>
          <w:sz w:val="24"/>
          <w:szCs w:val="24"/>
          <w:lang w:val="en-US" w:eastAsia="it-IT"/>
        </w:rPr>
        <w:t>45</w:t>
      </w:r>
      <w:bookmarkEnd w:id="52"/>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lastRenderedPageBreak/>
        <w:t>3. Weiter verletze das Urteil das Recht der Beschwerdeführerin auf den gesetzlichen Richter. Die Vorlagefragen im Parallelverfahren seien unzureichend gewesen. Nach deren Beantwortung habe der Bundesgerichtshof die Sache erneut dem Europäischen Gerichtshof vorlegen und fragen müssen, ob der Gebrauch von Werkstücken urheberrechtlich geschützter Werke ohne Übertragung der tatsächlichen Verfügungsgewalt überhaupt in den Anwendungsbereich der Urheberrechtsrichtlinie falle. Bei Verneinung dieser Frage hätte es keine gemeinschaftsrechtlichen Vorgaben für die Auslegung der „Verbreitung“ im Sinne von § 17 Abs. 1 UrhG gegeben. Ebenso zwingend sei eine Vorlage der Frage gewesen, ob Art. 4 Abs. 1 der Urheberrechtsrichtlinie einen Mindest- oder zugleich einen Maximalschutz definiere. Der Bundesgerichtshof beantworte diese entscheidungserhebliche Frage hingegen selbst. Die fehlende Vorlage an den Europäischen Gerichtshof sei offensichtlich unhaltbar, weil eine mögliche Gegenauffassung der vertretenen Meinung eindeutig vorzuziehen sei; die Literatur gehe einhellig von einem bloßen Mindestschutzcharakter aus, was der Bundesgerichtshof durchaus erkannt habe.</w:t>
      </w:r>
    </w:p>
    <w:p w:rsidR="00CF3C20" w:rsidRPr="00CF3C20" w:rsidRDefault="00CF3C20" w:rsidP="00CF3C20">
      <w:pPr>
        <w:spacing w:before="100" w:beforeAutospacing="1" w:after="100" w:afterAutospacing="1" w:line="240" w:lineRule="auto"/>
        <w:outlineLvl w:val="4"/>
        <w:rPr>
          <w:rFonts w:ascii="Times New Roman" w:eastAsia="Times New Roman" w:hAnsi="Times New Roman" w:cs="Times New Roman"/>
          <w:b/>
          <w:bCs/>
          <w:sz w:val="20"/>
          <w:szCs w:val="20"/>
          <w:lang w:val="en-US" w:eastAsia="it-IT"/>
        </w:rPr>
      </w:pPr>
      <w:r w:rsidRPr="00CF3C20">
        <w:rPr>
          <w:rFonts w:ascii="Times New Roman" w:eastAsia="Times New Roman" w:hAnsi="Times New Roman" w:cs="Times New Roman"/>
          <w:b/>
          <w:bCs/>
          <w:sz w:val="20"/>
          <w:szCs w:val="20"/>
          <w:lang w:val="en-US" w:eastAsia="it-IT"/>
        </w:rPr>
        <w:t>IV.</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53" w:name="abs46"/>
      <w:r w:rsidRPr="00CF3C20">
        <w:rPr>
          <w:rFonts w:ascii="Times New Roman" w:eastAsia="Times New Roman" w:hAnsi="Times New Roman" w:cs="Times New Roman"/>
          <w:sz w:val="24"/>
          <w:szCs w:val="24"/>
          <w:lang w:val="en-US" w:eastAsia="it-IT"/>
        </w:rPr>
        <w:t>46</w:t>
      </w:r>
      <w:bookmarkEnd w:id="53"/>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Die Streithelferin der Beklagten und die Deutsche Vereinigung für gewerblichen Rechtsschutz und Urheberrecht e.V. (GRUR) haben zur Verfassungsbeschwerde Stellungnahmen abgegeben (letztere abgedruckt in GRUR 2010, S. 698).</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54" w:name="abs47"/>
      <w:r w:rsidRPr="00CF3C20">
        <w:rPr>
          <w:rFonts w:ascii="Times New Roman" w:eastAsia="Times New Roman" w:hAnsi="Times New Roman" w:cs="Times New Roman"/>
          <w:sz w:val="24"/>
          <w:szCs w:val="24"/>
          <w:lang w:val="en-US" w:eastAsia="it-IT"/>
        </w:rPr>
        <w:t>47</w:t>
      </w:r>
      <w:bookmarkEnd w:id="54"/>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1. Nach Auffassung der Streithelferin auf Beklagtenseite, der Herstellerin der Möbelnachbildungen, ist die Verfassungsbeschwerde unzulässig, weil die Beschwerdeführerin nicht beschwerdebefugt sei. Der urheberrechtliche Exklusivvertrag beschränke sich auf die Rechte auf Herstellung und Verkauf der Möbel. Die Beschwerdeführerin könne sich zudem als ausländische juristische Person nicht auf eine Verletzung des deutschen Eigentumsgrundrechts stützen. Die Verletzung solle aus einer richtlinienkonformen Auslegung des deutschen Urheberrechts herrühren; die Richtlinie sei aber allein vom Europäischen Gerichtshof an Grundrechten des Unionsrechts zu messen.</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55" w:name="abs48"/>
      <w:r w:rsidRPr="00CF3C20">
        <w:rPr>
          <w:rFonts w:ascii="Times New Roman" w:eastAsia="Times New Roman" w:hAnsi="Times New Roman" w:cs="Times New Roman"/>
          <w:sz w:val="24"/>
          <w:szCs w:val="24"/>
          <w:lang w:val="en-US" w:eastAsia="it-IT"/>
        </w:rPr>
        <w:t>48</w:t>
      </w:r>
      <w:bookmarkEnd w:id="55"/>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Aus der Entscheidung des Europäischen Gerichtshofs vom 17. April 2008 (a.a.O.) gehe hervor, dass er von einem voll harmonisierten Verbreitungsbegriff ausgehe. Durch die Definition des Verbreitungsbegriffs würden lediglich Inhalt und Schranken des Eigentums in zulässiger Weise bestimmt.</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56" w:name="abs49"/>
      <w:r w:rsidRPr="00CF3C20">
        <w:rPr>
          <w:rFonts w:ascii="Times New Roman" w:eastAsia="Times New Roman" w:hAnsi="Times New Roman" w:cs="Times New Roman"/>
          <w:sz w:val="24"/>
          <w:szCs w:val="24"/>
          <w:lang w:val="en-US" w:eastAsia="it-IT"/>
        </w:rPr>
        <w:t>49</w:t>
      </w:r>
      <w:bookmarkEnd w:id="56"/>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2. Der Stellungnahme der Deutschen Vereinigung für gewerblichen Rechtsschutz und Urheberrecht zufolge ist die aus dem Urteil des Europäischen Gerichtshofs vom 17. April 2008 vom Bundesgerichtshof gezogene Schlussfolgerung, die Urheberrechtsrichtlinie regle einen Maximalschutz, nicht zwingend. Auch bei vollständiger Harmonisierung des Verbreitungsrechts seien die Mitgliedstaaten nicht gehindert, weitere Ausschließlichkeitsrechte zu gewähren.</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57" w:name="abs50"/>
      <w:r w:rsidRPr="00CF3C20">
        <w:rPr>
          <w:rFonts w:ascii="Times New Roman" w:eastAsia="Times New Roman" w:hAnsi="Times New Roman" w:cs="Times New Roman"/>
          <w:sz w:val="24"/>
          <w:szCs w:val="24"/>
          <w:lang w:val="en-US" w:eastAsia="it-IT"/>
        </w:rPr>
        <w:t>50</w:t>
      </w:r>
      <w:bookmarkEnd w:id="57"/>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 xml:space="preserve">Eine Lücke im Schutz des Urheberrechts bestehe aufgrund der Entscheidung des Bundesgerichtshofs allerdings nur in den Fällen, in denen im Ausland schutzfrei hergestellte </w:t>
      </w:r>
      <w:r w:rsidRPr="00CF3C20">
        <w:rPr>
          <w:rFonts w:ascii="Times New Roman" w:eastAsia="Times New Roman" w:hAnsi="Times New Roman" w:cs="Times New Roman"/>
          <w:sz w:val="24"/>
          <w:szCs w:val="24"/>
          <w:lang w:val="en-US" w:eastAsia="it-IT"/>
        </w:rPr>
        <w:lastRenderedPageBreak/>
        <w:t>Werkexemplare erworben und diese im Inland ohne Eigentumsübergang genutzt würden, ohne dass das ausschließliche Vermietrecht eingreife (was bei Werken der angewandten Kunst der Fall sei, § 17 Abs. 3 Satz 2 Nr. 1 UrhG). Demgegenüber erfasse das Verbreitungsrecht nach wie vor, auch bei angewandter Kunst, den Fall, dass im Ausland erworbene Werkexemplare im Inland weiterveräußert würden.</w:t>
      </w:r>
    </w:p>
    <w:p w:rsidR="00CF3C20" w:rsidRPr="00CF3C20" w:rsidRDefault="00CF3C20" w:rsidP="00CF3C20">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CF3C20">
        <w:rPr>
          <w:rFonts w:ascii="Times New Roman" w:eastAsia="Times New Roman" w:hAnsi="Times New Roman" w:cs="Times New Roman"/>
          <w:b/>
          <w:bCs/>
          <w:sz w:val="24"/>
          <w:szCs w:val="24"/>
          <w:lang w:eastAsia="it-IT"/>
        </w:rPr>
        <w:t>B.</w:t>
      </w:r>
    </w:p>
    <w:p w:rsidR="00CF3C20" w:rsidRPr="00CF3C20" w:rsidRDefault="00CF3C20" w:rsidP="00CF3C20">
      <w:pPr>
        <w:spacing w:after="0" w:line="240" w:lineRule="auto"/>
        <w:rPr>
          <w:rFonts w:ascii="Times New Roman" w:eastAsia="Times New Roman" w:hAnsi="Times New Roman" w:cs="Times New Roman"/>
          <w:sz w:val="24"/>
          <w:szCs w:val="24"/>
          <w:lang w:eastAsia="it-IT"/>
        </w:rPr>
      </w:pPr>
      <w:bookmarkStart w:id="58" w:name="abs51"/>
      <w:r w:rsidRPr="00CF3C20">
        <w:rPr>
          <w:rFonts w:ascii="Times New Roman" w:eastAsia="Times New Roman" w:hAnsi="Times New Roman" w:cs="Times New Roman"/>
          <w:sz w:val="24"/>
          <w:szCs w:val="24"/>
          <w:lang w:eastAsia="it-IT"/>
        </w:rPr>
        <w:t>51</w:t>
      </w:r>
      <w:bookmarkEnd w:id="58"/>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eastAsia="it-IT"/>
        </w:rPr>
      </w:pPr>
      <w:r w:rsidRPr="00CF3C20">
        <w:rPr>
          <w:rFonts w:ascii="Times New Roman" w:eastAsia="Times New Roman" w:hAnsi="Times New Roman" w:cs="Times New Roman"/>
          <w:sz w:val="24"/>
          <w:szCs w:val="24"/>
          <w:lang w:eastAsia="it-IT"/>
        </w:rPr>
        <w:t>Die Verfassungsbeschwerde ist zulässig.</w:t>
      </w:r>
    </w:p>
    <w:p w:rsidR="00CF3C20" w:rsidRPr="00CF3C20" w:rsidRDefault="00CF3C20" w:rsidP="00CF3C20">
      <w:pPr>
        <w:spacing w:before="100" w:beforeAutospacing="1" w:after="100" w:afterAutospacing="1" w:line="240" w:lineRule="auto"/>
        <w:outlineLvl w:val="4"/>
        <w:rPr>
          <w:rFonts w:ascii="Times New Roman" w:eastAsia="Times New Roman" w:hAnsi="Times New Roman" w:cs="Times New Roman"/>
          <w:b/>
          <w:bCs/>
          <w:sz w:val="20"/>
          <w:szCs w:val="20"/>
          <w:lang w:eastAsia="it-IT"/>
        </w:rPr>
      </w:pPr>
      <w:r w:rsidRPr="00CF3C20">
        <w:rPr>
          <w:rFonts w:ascii="Times New Roman" w:eastAsia="Times New Roman" w:hAnsi="Times New Roman" w:cs="Times New Roman"/>
          <w:b/>
          <w:bCs/>
          <w:sz w:val="20"/>
          <w:szCs w:val="20"/>
          <w:lang w:eastAsia="it-IT"/>
        </w:rPr>
        <w:t>I.</w:t>
      </w:r>
    </w:p>
    <w:p w:rsidR="00CF3C20" w:rsidRPr="00CF3C20" w:rsidRDefault="00CF3C20" w:rsidP="00CF3C20">
      <w:pPr>
        <w:spacing w:after="0" w:line="240" w:lineRule="auto"/>
        <w:rPr>
          <w:rFonts w:ascii="Times New Roman" w:eastAsia="Times New Roman" w:hAnsi="Times New Roman" w:cs="Times New Roman"/>
          <w:sz w:val="24"/>
          <w:szCs w:val="24"/>
          <w:lang w:eastAsia="it-IT"/>
        </w:rPr>
      </w:pPr>
      <w:bookmarkStart w:id="59" w:name="abs52"/>
      <w:r w:rsidRPr="00CF3C20">
        <w:rPr>
          <w:rFonts w:ascii="Times New Roman" w:eastAsia="Times New Roman" w:hAnsi="Times New Roman" w:cs="Times New Roman"/>
          <w:sz w:val="24"/>
          <w:szCs w:val="24"/>
          <w:lang w:eastAsia="it-IT"/>
        </w:rPr>
        <w:t>52</w:t>
      </w:r>
      <w:bookmarkEnd w:id="59"/>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eastAsia="it-IT"/>
        </w:rPr>
      </w:pPr>
      <w:r w:rsidRPr="00CF3C20">
        <w:rPr>
          <w:rFonts w:ascii="Times New Roman" w:eastAsia="Times New Roman" w:hAnsi="Times New Roman" w:cs="Times New Roman"/>
          <w:sz w:val="24"/>
          <w:szCs w:val="24"/>
          <w:lang w:eastAsia="it-IT"/>
        </w:rPr>
        <w:t>Das angegriffene Urteil des Bundesgerichtshofs ist, auch soweit es Rechtsvorschriften betrifft, die Unionsrecht in deutsches Recht umsetzen, als eine Maßnahme der deutschen öffentlichen Gewalt tauglicher Gegenstand einer Verfassungsbeschwerde im Sinne von § 90 Abs. 1 BVerfGG (vgl. BVerfGE 126, 286 &lt;298 f.&gt;).</w:t>
      </w:r>
    </w:p>
    <w:p w:rsidR="00CF3C20" w:rsidRPr="00CF3C20" w:rsidRDefault="00CF3C20" w:rsidP="00CF3C20">
      <w:pPr>
        <w:spacing w:after="0" w:line="240" w:lineRule="auto"/>
        <w:rPr>
          <w:rFonts w:ascii="Times New Roman" w:eastAsia="Times New Roman" w:hAnsi="Times New Roman" w:cs="Times New Roman"/>
          <w:sz w:val="24"/>
          <w:szCs w:val="24"/>
          <w:lang w:eastAsia="it-IT"/>
        </w:rPr>
      </w:pPr>
      <w:bookmarkStart w:id="60" w:name="abs53"/>
      <w:r w:rsidRPr="00CF3C20">
        <w:rPr>
          <w:rFonts w:ascii="Times New Roman" w:eastAsia="Times New Roman" w:hAnsi="Times New Roman" w:cs="Times New Roman"/>
          <w:sz w:val="24"/>
          <w:szCs w:val="24"/>
          <w:lang w:eastAsia="it-IT"/>
        </w:rPr>
        <w:t>53</w:t>
      </w:r>
      <w:bookmarkEnd w:id="60"/>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eastAsia="it-IT"/>
        </w:rPr>
      </w:pPr>
      <w:r w:rsidRPr="00CF3C20">
        <w:rPr>
          <w:rFonts w:ascii="Times New Roman" w:eastAsia="Times New Roman" w:hAnsi="Times New Roman" w:cs="Times New Roman"/>
          <w:sz w:val="24"/>
          <w:szCs w:val="24"/>
          <w:lang w:eastAsia="it-IT"/>
        </w:rPr>
        <w:t>Zwar übt das Bundesverfassungsgericht seine Gerichtsbarkeit über die Anwendbarkeit von Unionsrecht, das als Grundlage für ein Verhalten deutscher Gerichte und Behörden im Hoheitsbereich der Bundesrepublik Deutschland in Anspruch genommen wird, grundsätzlich nicht aus und überprüft dieses Recht nicht am Maßstab der Grundrechte des Grundgesetzes, solange die Europäische Union, auch durch die Rechtsprechung des Europäischen Gerichtshofs, einen wirksamen Schutz der Grundrechte generell gewährleistet, der dem vom Grundgesetz jeweils als unabdingbar gebotenen Grundrechtsschutz im Wesentlichen gleich zu achten ist, zumal den Wesensgehalt der Grundrechte generell verbürgt (vgl. BVerfGE 73, 339 &lt;387&gt;; 102, 147 &lt;162 f.&gt;; 125, 260 &lt;306&gt;). Dies gilt auch für innerstaatliche Rechtsvorschriften, die zwingende Vorgaben einer Richtlinie in deutsches Recht umsetzen. Verfassungsbeschwerden, die sich gegen die Anwendung unionsrechtlich vollständig determinierter Bestimmungen des nationalen Rechts richten, sind grundsätzlich unzulässig (vgl. BVerfGE 125, 260 &lt; 306&gt;).</w:t>
      </w:r>
    </w:p>
    <w:p w:rsidR="00CF3C20" w:rsidRPr="00CF3C20" w:rsidRDefault="00CF3C20" w:rsidP="00CF3C20">
      <w:pPr>
        <w:spacing w:after="0" w:line="240" w:lineRule="auto"/>
        <w:rPr>
          <w:rFonts w:ascii="Times New Roman" w:eastAsia="Times New Roman" w:hAnsi="Times New Roman" w:cs="Times New Roman"/>
          <w:sz w:val="24"/>
          <w:szCs w:val="24"/>
          <w:lang w:eastAsia="it-IT"/>
        </w:rPr>
      </w:pPr>
      <w:bookmarkStart w:id="61" w:name="abs54"/>
      <w:r w:rsidRPr="00CF3C20">
        <w:rPr>
          <w:rFonts w:ascii="Times New Roman" w:eastAsia="Times New Roman" w:hAnsi="Times New Roman" w:cs="Times New Roman"/>
          <w:sz w:val="24"/>
          <w:szCs w:val="24"/>
          <w:lang w:eastAsia="it-IT"/>
        </w:rPr>
        <w:t>54</w:t>
      </w:r>
      <w:bookmarkEnd w:id="61"/>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eastAsia="it-IT"/>
        </w:rPr>
      </w:pPr>
      <w:r w:rsidRPr="00CF3C20">
        <w:rPr>
          <w:rFonts w:ascii="Times New Roman" w:eastAsia="Times New Roman" w:hAnsi="Times New Roman" w:cs="Times New Roman"/>
          <w:sz w:val="24"/>
          <w:szCs w:val="24"/>
          <w:lang w:eastAsia="it-IT"/>
        </w:rPr>
        <w:t>Diese Grundsätze stehen einer Überprüfung des angegriffenen Urteils jedoch nicht entgegen. Wird wie hier die Verfassungsbeschwerde gegen eine Gerichtsentscheidung darauf gestützt, dass ein Gericht bei der Auslegung nationalen Umsetzungsrechts einen den Mitgliedstaaten verbleibenden Umsetzungsspielraum verkannt habe, beruft sich der Beschwerdeführer auf eine Verletzung deutscher Grundrechte im Bereich des unionsrechtlich nicht vollständig determinierten Rechts. Insoweit kann er auch geltend machen, das Gericht habe sich zu Unrecht durch Unionsrecht gebunden gesehen.</w:t>
      </w:r>
    </w:p>
    <w:p w:rsidR="00CF3C20" w:rsidRPr="00CF3C20" w:rsidRDefault="00CF3C20" w:rsidP="00CF3C20">
      <w:pPr>
        <w:spacing w:before="100" w:beforeAutospacing="1" w:after="100" w:afterAutospacing="1" w:line="240" w:lineRule="auto"/>
        <w:outlineLvl w:val="4"/>
        <w:rPr>
          <w:rFonts w:ascii="Times New Roman" w:eastAsia="Times New Roman" w:hAnsi="Times New Roman" w:cs="Times New Roman"/>
          <w:b/>
          <w:bCs/>
          <w:sz w:val="20"/>
          <w:szCs w:val="20"/>
          <w:lang w:eastAsia="it-IT"/>
        </w:rPr>
      </w:pPr>
      <w:r w:rsidRPr="00CF3C20">
        <w:rPr>
          <w:rFonts w:ascii="Times New Roman" w:eastAsia="Times New Roman" w:hAnsi="Times New Roman" w:cs="Times New Roman"/>
          <w:b/>
          <w:bCs/>
          <w:sz w:val="20"/>
          <w:szCs w:val="20"/>
          <w:lang w:eastAsia="it-IT"/>
        </w:rPr>
        <w:t>II.</w:t>
      </w:r>
    </w:p>
    <w:p w:rsidR="00CF3C20" w:rsidRPr="00CF3C20" w:rsidRDefault="00CF3C20" w:rsidP="00CF3C20">
      <w:pPr>
        <w:spacing w:after="0" w:line="240" w:lineRule="auto"/>
        <w:rPr>
          <w:rFonts w:ascii="Times New Roman" w:eastAsia="Times New Roman" w:hAnsi="Times New Roman" w:cs="Times New Roman"/>
          <w:sz w:val="24"/>
          <w:szCs w:val="24"/>
          <w:lang w:eastAsia="it-IT"/>
        </w:rPr>
      </w:pPr>
      <w:bookmarkStart w:id="62" w:name="abs55"/>
      <w:r w:rsidRPr="00CF3C20">
        <w:rPr>
          <w:rFonts w:ascii="Times New Roman" w:eastAsia="Times New Roman" w:hAnsi="Times New Roman" w:cs="Times New Roman"/>
          <w:sz w:val="24"/>
          <w:szCs w:val="24"/>
          <w:lang w:eastAsia="it-IT"/>
        </w:rPr>
        <w:t>55</w:t>
      </w:r>
      <w:bookmarkEnd w:id="62"/>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eastAsia="it-IT"/>
        </w:rPr>
      </w:pPr>
      <w:r w:rsidRPr="00CF3C20">
        <w:rPr>
          <w:rFonts w:ascii="Times New Roman" w:eastAsia="Times New Roman" w:hAnsi="Times New Roman" w:cs="Times New Roman"/>
          <w:sz w:val="24"/>
          <w:szCs w:val="24"/>
          <w:lang w:eastAsia="it-IT"/>
        </w:rPr>
        <w:lastRenderedPageBreak/>
        <w:t>Die Beschwerdeführerin ist gemäß § 90 Abs. 1 BVerfGG beschwerdefähig und -befugt. Für die Zulässigkeit einer Verfassungsbeschwerde reicht es aus, dass der Beschwerdeführer die Möglichkeit einer Verletzung eines für ihn verfassungsbeschwerdefähigen Rechts aufzeigt (vgl. BVerfGE 125, 39 &lt;73&gt; m.w.N.).</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63" w:name="abs56"/>
      <w:r w:rsidRPr="00CF3C20">
        <w:rPr>
          <w:rFonts w:ascii="Times New Roman" w:eastAsia="Times New Roman" w:hAnsi="Times New Roman" w:cs="Times New Roman"/>
          <w:sz w:val="24"/>
          <w:szCs w:val="24"/>
          <w:lang w:val="en-US" w:eastAsia="it-IT"/>
        </w:rPr>
        <w:t>56</w:t>
      </w:r>
      <w:bookmarkEnd w:id="63"/>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1. a) Art. 19 Abs. 3 GG steht der Beschwerdefähigkeit für die Rüge einer Verletzung von Art. 14 Abs. 1 GG nicht entgegen.</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64" w:name="abs57"/>
      <w:r w:rsidRPr="00CF3C20">
        <w:rPr>
          <w:rFonts w:ascii="Times New Roman" w:eastAsia="Times New Roman" w:hAnsi="Times New Roman" w:cs="Times New Roman"/>
          <w:sz w:val="24"/>
          <w:szCs w:val="24"/>
          <w:lang w:val="en-US" w:eastAsia="it-IT"/>
        </w:rPr>
        <w:t>57</w:t>
      </w:r>
      <w:bookmarkEnd w:id="64"/>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In seiner bisherigen Rechtsprechung hat das Bundesverfassungsgericht die Geltung der materiellen Grundrechte allgemein für ausländische juristische Personen unter Berufung auf den Wortlaut des Art. 19 Abs. 3 GG zwar abgelehnt (vgl. BVerfGE 21, 207 &lt;208 f.&gt;; 23, 229 &lt;236&gt;; 100, 313 &lt; 364&gt;). Neuere Kammerbeschlüsse haben hingegen offen gelassen, ob diese Rechtsprechung auch auf juristische Personen aus Mitgliedstaaten der Europäischen Union anzuwenden ist (vgl. Beschlüsse der 2. Kammer des Ersten Senats vom 2. April 2004 - 1 BvR 1620/03 -, NJW 2004, S. 3031, und vom 27. Dezember 2007 - 1 BvR 853/06 -, NVwZ 2008, S. 670 f.). Angesichts der unionsrechtlichen Diskriminierungsverbote in ihrer Auslegung durch den Europäischen Gerichtshof (vgl. EuGH, Urteil vom 20. Oktober 1993 - verb. Rs. C-92/92 und C-326/92 Phil Collins -, Slg. 1993, S. I-5145, Rn. 30 ff., 35; Urteil vom 5. November 2002 - C-208/00 Überseering -, Slg. 2002, S. I-9919, Rn. 76 ff.) erscheint es jedenfalls möglich, dass die Beschwerdeführerin mit Sitz in Italien Trägerin des Grundrechts auf Eigentum ist.</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65" w:name="abs58"/>
      <w:r w:rsidRPr="00CF3C20">
        <w:rPr>
          <w:rFonts w:ascii="Times New Roman" w:eastAsia="Times New Roman" w:hAnsi="Times New Roman" w:cs="Times New Roman"/>
          <w:sz w:val="24"/>
          <w:szCs w:val="24"/>
          <w:lang w:val="en-US" w:eastAsia="it-IT"/>
        </w:rPr>
        <w:t>58</w:t>
      </w:r>
      <w:bookmarkEnd w:id="65"/>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b) Der Beschwerdebefugnis der Beschwerdeführerin im Hinblick auf ihr Eigentumsgrundrecht lässt sich nicht entgegenhalten, dass sie nicht selbst Urheberin der Möbelmodelle ist, sondern mit den Rechtsnachfolgern von Le Corbusier Exklusivverträge über die Herstellung und Vermarktung der Möbelmodelle Le Corbusiers geschlossen hat. Die Beschwerdeführerin ist dadurch in deren durch Art. 14 Abs. 1 GG gewährleistete Schutzrechte des geistigen Eigentums eingerückt (vgl. BVerfG, Beschluss der 1. Kammer des Ersten Senats vom 10. Mai 2000 - 1 BvR 1864/95 -, GRUR 2001, S. 43). Demgegenüber handelt es sich nicht um den Fall einer grundsätzlich unzulässigen Prozessstandschaft, bei der fremde Rechte im eigenen Namen geltend gemacht werden (vgl. BVerfGE 25, 256 &lt;263&gt;; 31, 275 &lt;280&gt;; 56, 296 &lt; 297&gt;).</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66" w:name="abs59"/>
      <w:r w:rsidRPr="00CF3C20">
        <w:rPr>
          <w:rFonts w:ascii="Times New Roman" w:eastAsia="Times New Roman" w:hAnsi="Times New Roman" w:cs="Times New Roman"/>
          <w:sz w:val="24"/>
          <w:szCs w:val="24"/>
          <w:lang w:val="en-US" w:eastAsia="it-IT"/>
        </w:rPr>
        <w:t>59</w:t>
      </w:r>
      <w:bookmarkEnd w:id="66"/>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2. Die Beschwerdefähigkeit und -befugnis im Hinblick auf die Rüge einer Entziehung des gesetzlichen Richters gemäß Art. 101 Abs. 1 Satz 2 GG sind gegeben. Dies entspricht ständiger Rechtsprechung des Bundesverfassungsgerichts, da die Rechte aus Art. 101 Abs. 1 Satz 2 und Art. 103 Abs. 1 GG jedem zustehen können, gleichgültig ob er eine natürliche oder juristische, eine inländische oder ausländische Person ist (vgl. BVerfGE 12, 6 &lt;8&gt;; 18, 441 &lt;447&gt;; 64, 1 &lt; 11&gt;).</w:t>
      </w:r>
    </w:p>
    <w:p w:rsidR="00CF3C20" w:rsidRPr="00CF3C20" w:rsidRDefault="00CF3C20" w:rsidP="00CF3C20">
      <w:pPr>
        <w:spacing w:before="100" w:beforeAutospacing="1" w:after="100" w:afterAutospacing="1" w:line="240" w:lineRule="auto"/>
        <w:outlineLvl w:val="4"/>
        <w:rPr>
          <w:rFonts w:ascii="Times New Roman" w:eastAsia="Times New Roman" w:hAnsi="Times New Roman" w:cs="Times New Roman"/>
          <w:b/>
          <w:bCs/>
          <w:sz w:val="20"/>
          <w:szCs w:val="20"/>
          <w:lang w:val="en-US" w:eastAsia="it-IT"/>
        </w:rPr>
      </w:pPr>
      <w:r w:rsidRPr="00CF3C20">
        <w:rPr>
          <w:rFonts w:ascii="Times New Roman" w:eastAsia="Times New Roman" w:hAnsi="Times New Roman" w:cs="Times New Roman"/>
          <w:b/>
          <w:bCs/>
          <w:sz w:val="20"/>
          <w:szCs w:val="20"/>
          <w:lang w:val="en-US" w:eastAsia="it-IT"/>
        </w:rPr>
        <w:t>III.</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67" w:name="abs60"/>
      <w:r w:rsidRPr="00CF3C20">
        <w:rPr>
          <w:rFonts w:ascii="Times New Roman" w:eastAsia="Times New Roman" w:hAnsi="Times New Roman" w:cs="Times New Roman"/>
          <w:sz w:val="24"/>
          <w:szCs w:val="24"/>
          <w:lang w:val="en-US" w:eastAsia="it-IT"/>
        </w:rPr>
        <w:t>60</w:t>
      </w:r>
      <w:bookmarkEnd w:id="67"/>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Die Beschwerdeführerin ist bezüglich der Rüge eines Entzugs des gesetzlichen Richters gemäß Art. 101 Abs. 1 Satz 2 GG auch dem Grundsatz der Subsidiarität gerecht geworden.</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68" w:name="abs61"/>
      <w:r w:rsidRPr="00CF3C20">
        <w:rPr>
          <w:rFonts w:ascii="Times New Roman" w:eastAsia="Times New Roman" w:hAnsi="Times New Roman" w:cs="Times New Roman"/>
          <w:sz w:val="24"/>
          <w:szCs w:val="24"/>
          <w:lang w:val="en-US" w:eastAsia="it-IT"/>
        </w:rPr>
        <w:lastRenderedPageBreak/>
        <w:t>61</w:t>
      </w:r>
      <w:bookmarkEnd w:id="68"/>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1. Der Beschwerdeführer einer Verfassungsbeschwerde muss, über die bloße formelle Erschöpfung des Rechtswegs hinaus, vor Erhebung der Verfassungsbeschwerde alle nach Lage der Sache zur Verfügung stehenden prozessualen Möglichkeiten ergreifen, um die geltend gemachte Grundrechtsverletzung in dem unmittelbar mit ihr zusammenhängenden sachnächsten Verfahren zu verhindern oder zu beseitigen (vgl. BVerfGE 112, 50 &lt;60&gt;; stRspr). Die Beteiligten eines gerichtlichen Verfahrens sind allerdings grundsätzlich nicht gehalten, Rechtsausführungen zu machen, sofern nicht das einfache Verfahrensrecht rechtliche Darlegungen verlangt. Dementsprechend obliegt es dem Beschwerdeführer im Ausgangsverfahren einer Verfassungsbeschwerde lediglich, den Sachverhalt so darzulegen, dass eine verfassungsrechtliche Prüfung möglich ist; diese ist dann von den Gerichten vorzunehmen. Der Beschwerdeführer muss das fachgerichtliche Verfahren nicht im Sinne eines vorgezogenen Verfassungsrechtsstreits führen (vgl. BVerfGE 112, 50 &lt;60 ff.&gt;).</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69" w:name="abs62"/>
      <w:r w:rsidRPr="00CF3C20">
        <w:rPr>
          <w:rFonts w:ascii="Times New Roman" w:eastAsia="Times New Roman" w:hAnsi="Times New Roman" w:cs="Times New Roman"/>
          <w:sz w:val="24"/>
          <w:szCs w:val="24"/>
          <w:lang w:val="en-US" w:eastAsia="it-IT"/>
        </w:rPr>
        <w:t>62</w:t>
      </w:r>
      <w:bookmarkEnd w:id="69"/>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Etwas anderes kann in Fällen gelten, in denen bei verständiger Einschätzung der Rechtslage und der jeweiligen verfahrensrechtlichen Situation ein Begehren nur Aussicht auf Erfolg haben kann, wenn verfassungsrechtliche Erwägungen in das fachgerichtliche Verfahren eingeführt werden (vgl. BVerfGE 112, 50 &lt;62&gt;). Weiter ist zu beachten, dass die Rüge der Verletzung von Verfahrensgrundrechten, insbesondere Art. 101 Abs. 1 Satz 2 und Art. 103 Abs. 1 GG, nicht mehr im Verfahren der Verfassungsbeschwerde geltend gemacht werden kann, wenn nicht zuvor alle Mittel des Prozessrechts genutzt wurden, um diesen Verstoß zu verhindern oder zu beseitigen (vgl. BVerfGE 95, 96 &lt; 127&gt;; 112, 50 &lt;62&gt;). Das bedeutet insbesondere, dass von der Rechtsordnung eröffnete Rechtsbehelfe in zulässiger Weise ergriffen werden müssen (vgl. BVerfGE 95, 96 &lt;127&gt;).</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70" w:name="abs63"/>
      <w:r w:rsidRPr="00CF3C20">
        <w:rPr>
          <w:rFonts w:ascii="Times New Roman" w:eastAsia="Times New Roman" w:hAnsi="Times New Roman" w:cs="Times New Roman"/>
          <w:sz w:val="24"/>
          <w:szCs w:val="24"/>
          <w:lang w:val="en-US" w:eastAsia="it-IT"/>
        </w:rPr>
        <w:t>63</w:t>
      </w:r>
      <w:bookmarkEnd w:id="70"/>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Die Beachtung der hieraus folgenden Anforderungen muss der Beschwerdeführer, wenn sie nicht offensichtlich gewahrt sind, in seiner Verfassungsbeschwerde gemäß § 23 Abs. 1 Satz 2 Halbsatz 1, § 92 BVerfGG substantiiert darlegen (vgl. BVerfGK 4, 102 &lt; 103 f.&gt;).</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71" w:name="abs64"/>
      <w:r w:rsidRPr="00CF3C20">
        <w:rPr>
          <w:rFonts w:ascii="Times New Roman" w:eastAsia="Times New Roman" w:hAnsi="Times New Roman" w:cs="Times New Roman"/>
          <w:sz w:val="24"/>
          <w:szCs w:val="24"/>
          <w:lang w:val="en-US" w:eastAsia="it-IT"/>
        </w:rPr>
        <w:t>64</w:t>
      </w:r>
      <w:bookmarkEnd w:id="71"/>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2. Im Rahmen einer Rüge der Verletzung von Art. 101 Abs. 1 Satz 2 GG erstreckt sich die damit umschriebene Obliegenheit des Beschwerdeführers regelmäßig darauf, durch entsprechende Anträge oder Anregungen an das Fachgericht eine Befassung des gesetzlichen Richters zu erreichen.</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72" w:name="abs65"/>
      <w:r w:rsidRPr="00CF3C20">
        <w:rPr>
          <w:rFonts w:ascii="Times New Roman" w:eastAsia="Times New Roman" w:hAnsi="Times New Roman" w:cs="Times New Roman"/>
          <w:sz w:val="24"/>
          <w:szCs w:val="24"/>
          <w:lang w:val="en-US" w:eastAsia="it-IT"/>
        </w:rPr>
        <w:t>65</w:t>
      </w:r>
      <w:bookmarkEnd w:id="72"/>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Handelt es sich beim gesetzlichen Richter um den Europäischen Gerichtshof, ist ein entsprechender Antrag der Beteiligten auf Vorlage allerdings nicht vorgesehen, vielmehr ist ein letztinstanzliches nationales Gericht unter den Voraussetzungen des Art. 267 Abs. 3 AEUV von Amts wegen gehalten, den Europäischen Gerichtshof anzurufen (vgl. BVerfGE 82, 159 &lt;192 f.&gt;). Es genügt daher dem Grundsatz der Subsidiarität, wenn das Vorbringen bei rechtlicher Prüfung durch das Fachgericht eine Vorlage an den Europäischen Gerichtshof als naheliegend erscheinen lässt.</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73" w:name="abs66"/>
      <w:r w:rsidRPr="00CF3C20">
        <w:rPr>
          <w:rFonts w:ascii="Times New Roman" w:eastAsia="Times New Roman" w:hAnsi="Times New Roman" w:cs="Times New Roman"/>
          <w:sz w:val="24"/>
          <w:szCs w:val="24"/>
          <w:lang w:val="en-US" w:eastAsia="it-IT"/>
        </w:rPr>
        <w:t>66</w:t>
      </w:r>
      <w:bookmarkEnd w:id="73"/>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lastRenderedPageBreak/>
        <w:t>3. Danach hat die Beschwerdeführerin die Rüge eines Entzugs des gesetzlichen Richters zulässig erhoben. Sie hat dem Bundesgerichtshof ein Gutachten unter anderem zur Frage der Voll- oder Teilharmonisierung des Verbreitungsrechts durch Art. 4 der Urheberrechtsrichtlinie vorgelegt und damit den sich aus dem Grundsatz der Subsidiarität ergebenden Anforderungen noch Genüge getan. Das Gutachten gab dem Bundesgerichtshof hinreichenden Anlass, die Notwendigkeit eines Vorabentscheidungsverfahrens selbst zu klären.</w:t>
      </w:r>
    </w:p>
    <w:p w:rsidR="00CF3C20" w:rsidRPr="00CF3C20" w:rsidRDefault="00CF3C20" w:rsidP="00CF3C20">
      <w:pPr>
        <w:spacing w:before="100" w:beforeAutospacing="1" w:after="100" w:afterAutospacing="1" w:line="240" w:lineRule="auto"/>
        <w:outlineLvl w:val="3"/>
        <w:rPr>
          <w:rFonts w:ascii="Times New Roman" w:eastAsia="Times New Roman" w:hAnsi="Times New Roman" w:cs="Times New Roman"/>
          <w:b/>
          <w:bCs/>
          <w:sz w:val="24"/>
          <w:szCs w:val="24"/>
          <w:lang w:val="en-US" w:eastAsia="it-IT"/>
        </w:rPr>
      </w:pPr>
      <w:r w:rsidRPr="00CF3C20">
        <w:rPr>
          <w:rFonts w:ascii="Times New Roman" w:eastAsia="Times New Roman" w:hAnsi="Times New Roman" w:cs="Times New Roman"/>
          <w:b/>
          <w:bCs/>
          <w:sz w:val="24"/>
          <w:szCs w:val="24"/>
          <w:lang w:val="en-US" w:eastAsia="it-IT"/>
        </w:rPr>
        <w:t>C.</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74" w:name="abs67"/>
      <w:r w:rsidRPr="00CF3C20">
        <w:rPr>
          <w:rFonts w:ascii="Times New Roman" w:eastAsia="Times New Roman" w:hAnsi="Times New Roman" w:cs="Times New Roman"/>
          <w:sz w:val="24"/>
          <w:szCs w:val="24"/>
          <w:lang w:val="en-US" w:eastAsia="it-IT"/>
        </w:rPr>
        <w:t>67</w:t>
      </w:r>
      <w:bookmarkEnd w:id="74"/>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Die Verfassungsbeschwerde ist nicht begründet. Zwar kann sich die Beschwerdeführerin darauf stützen, Trägerin von Grundrechten des Grundgesetzes einschließlich des Eigentumsgrundrechts aus Art. 14 Abs. 1 GG zu sein (I.). Ein Verstoß gegen Art. 14 Abs. 1 GG durch das angegriffene Urteil lässt sich jedoch nicht feststellen (II.). Das Urteil verletzt die Beschwerdeführerin auch nicht in ihrem Recht auf den gesetzlichen Richter aus Art. 101 Abs. 1 Satz 2 GG (III.).</w:t>
      </w:r>
    </w:p>
    <w:p w:rsidR="00CF3C20" w:rsidRPr="00CF3C20" w:rsidRDefault="00CF3C20" w:rsidP="00CF3C20">
      <w:pPr>
        <w:spacing w:before="100" w:beforeAutospacing="1" w:after="100" w:afterAutospacing="1" w:line="240" w:lineRule="auto"/>
        <w:outlineLvl w:val="4"/>
        <w:rPr>
          <w:rFonts w:ascii="Times New Roman" w:eastAsia="Times New Roman" w:hAnsi="Times New Roman" w:cs="Times New Roman"/>
          <w:b/>
          <w:bCs/>
          <w:sz w:val="20"/>
          <w:szCs w:val="20"/>
          <w:lang w:val="en-US" w:eastAsia="it-IT"/>
        </w:rPr>
      </w:pPr>
      <w:r w:rsidRPr="00CF3C20">
        <w:rPr>
          <w:rFonts w:ascii="Times New Roman" w:eastAsia="Times New Roman" w:hAnsi="Times New Roman" w:cs="Times New Roman"/>
          <w:b/>
          <w:bCs/>
          <w:sz w:val="20"/>
          <w:szCs w:val="20"/>
          <w:lang w:val="en-US" w:eastAsia="it-IT"/>
        </w:rPr>
        <w:t>I.</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75" w:name="abs68"/>
      <w:r w:rsidRPr="00CF3C20">
        <w:rPr>
          <w:rFonts w:ascii="Times New Roman" w:eastAsia="Times New Roman" w:hAnsi="Times New Roman" w:cs="Times New Roman"/>
          <w:sz w:val="24"/>
          <w:szCs w:val="24"/>
          <w:lang w:val="en-US" w:eastAsia="it-IT"/>
        </w:rPr>
        <w:t>68</w:t>
      </w:r>
      <w:bookmarkEnd w:id="75"/>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Die Beschwerdeführerin als juristische Person mit Sitz in Italien ist Trägerin von Grundrechten des Grundgesetzes. Die Erstreckung der Grundrechtsberechtigung auf juristische Personen aus Mitgliedstaaten der Europäischen Union stellt eine aufgrund des Anwendungsvorrangs der Grundfreiheiten im Binnenmarkt (Art. 26 Abs. 2 AEUV) und des allgemeinen Diskriminierungsverbots wegen der Staatsangehörigkeit (Art. 18 AEUV) vertraglich veranlasste Anwendungserweiterung des deutschen Grundrechtsschutzes dar.</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76" w:name="abs69"/>
      <w:r w:rsidRPr="00CF3C20">
        <w:rPr>
          <w:rFonts w:ascii="Times New Roman" w:eastAsia="Times New Roman" w:hAnsi="Times New Roman" w:cs="Times New Roman"/>
          <w:sz w:val="24"/>
          <w:szCs w:val="24"/>
          <w:lang w:val="en-US" w:eastAsia="it-IT"/>
        </w:rPr>
        <w:t>69</w:t>
      </w:r>
      <w:bookmarkEnd w:id="76"/>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1. Nach Art. 19 Abs. 3 GG gelten die Grundrechte auch für inländische juristische Personen, soweit sie ihrem Wesen nach auf diese anwendbar sind. Die „wesensmäßige Anwendbarkeit“ ist bei den hier als verletzt gerügten Grundrechten ohne weiteres gegeben (vgl. zu Art. 14 Abs. 1 GG: BVerfGE 4, 7 &lt;17&gt;; 23, 153 &lt;163&gt;; 35, 348 &lt;360&gt;; 53, 336 &lt;345&gt;; 66, 116 &lt;130&gt;; zu den Prozessgrundrechten: BVerfGE 3, 359 &lt;363&gt;; 12, 6 &lt;8&gt;; 18, 441 &lt;447&gt;; 19, 52 &lt; 55 f.&gt;; 64, 1 &lt; 11&gt;; 75, 192 &lt;200&gt;).</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77" w:name="abs70"/>
      <w:r w:rsidRPr="00CF3C20">
        <w:rPr>
          <w:rFonts w:ascii="Times New Roman" w:eastAsia="Times New Roman" w:hAnsi="Times New Roman" w:cs="Times New Roman"/>
          <w:sz w:val="24"/>
          <w:szCs w:val="24"/>
          <w:lang w:val="en-US" w:eastAsia="it-IT"/>
        </w:rPr>
        <w:t>70</w:t>
      </w:r>
      <w:bookmarkEnd w:id="77"/>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a) Demgegenüber hat der Senat bislang entschieden, dass sich ausländische juristische Personen auf materielle Grundrechte - anders als auf prozessuale Grundrechte wie Art. 101 Abs. 1 Satz 2 und Art. 103 Abs. 1 GG (vgl. BVerfGE 12, 6 &lt;8&gt;; 18, 441 &lt;447&gt;; 21, 362 &lt; 373&gt;; 64, 1 &lt;11&gt;) - nicht berufen können. Zur Begründung hat er auf Wortlaut und Sinn von Art. 19 Abs. 3 GG verwiesen, die eine entsprechende ausdehnende Auslegung verböten (vgl. BVerfGE 21, 207 &lt;208 f.&gt;; 23, 229 &lt; 236&gt;; 100, 313 &lt; 364&gt;). In anderen Entscheidungen haben beide Senate des Bundesverfassungsgerichts die Grundrechtsberechtigung ausländischer juristischer Personen ausdrücklich dahingestellt (vgl. allgemein BVerfGE 12, 6 &lt;8&gt;; 34, 338 &lt;340&gt;; 64, 1 &lt;11&gt;; sowie BVerfGE 18, 441 &lt;447&gt; hinsichtlich Art. 14 Abs. 1 GG).</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78" w:name="abs71"/>
      <w:r w:rsidRPr="00CF3C20">
        <w:rPr>
          <w:rFonts w:ascii="Times New Roman" w:eastAsia="Times New Roman" w:hAnsi="Times New Roman" w:cs="Times New Roman"/>
          <w:sz w:val="24"/>
          <w:szCs w:val="24"/>
          <w:lang w:val="en-US" w:eastAsia="it-IT"/>
        </w:rPr>
        <w:t>71</w:t>
      </w:r>
      <w:bookmarkEnd w:id="78"/>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lastRenderedPageBreak/>
        <w:t>Mit der spezielleren Frage, ob ausländische juristische Personen, die ihren Sitz in der Europäischen Union haben, Träger materieller Grundrechte des Grundgesetzes sein können, hat sich das Bundesverfassungsgericht hingegen bislang nicht näher befasst. Allerdings wurde in einer Entscheidung aus dem Jahr 1968 die Verfassungsbeschwerde einer Vereinigung französischen Rechts mit Sitz in Frankreich ohne weitere Begründung für unzulässig erklärt (BVerfGE 23, 229 &lt;236&gt;); in der Entscheidung aus dem Jahr 1973 zu einer französischen Handelsgesellschaft blieb deren Grundrechtsfähigkeit ausdrücklich dahingestellt (BVerfGE 34, 338 &lt;340&gt;). In der Literatur ist die Frage umstritten (vgl. befürwortend Drathen, Deutschengrundrechte im Lichte des Gemeinschaftsrechts, 1994; H. Dreier, in: ders., GG, Bd. 1, 2. Aufl. 2004, Art. 19 Abs. 3 Rn. 20 f., 83 f.; Huber, in: v. Mangoldt/Klein/Starck, GG, 6. Aufl. 2010, Art. 19 Abs. 3 Rn. 305 ff.; Kotzur, DÖV 2001, S. 192 &lt;195 ff.&gt;; Remmert, in: Maunz/Dürig, GG, Art. 19 Abs. 3 Rn. 93 ff. &lt;Mai 2009&gt;; ablehnend Bethge, Die Grundrechtsberechtigung juristischer Personen nach Art. 19 Abs. 3 Grundgesetz, 1985, S. 46 ff.; Quaritsch, in: Isensee/Kirchhof, HStR V, 2. Aufl. 2000, § 120 Rn. 36 ff.; v. Mutius, in: Bonner Kommentar zum GG 1975, Art. 19 Abs. 3 Rn. 50, 52; Weinzierl, Europäisierung des deutschen Grundrechtsschutzes?, 2006).</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79" w:name="abs72"/>
      <w:r w:rsidRPr="00CF3C20">
        <w:rPr>
          <w:rFonts w:ascii="Times New Roman" w:eastAsia="Times New Roman" w:hAnsi="Times New Roman" w:cs="Times New Roman"/>
          <w:sz w:val="24"/>
          <w:szCs w:val="24"/>
          <w:lang w:val="en-US" w:eastAsia="it-IT"/>
        </w:rPr>
        <w:t>72</w:t>
      </w:r>
      <w:bookmarkEnd w:id="79"/>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b) Nach dem Wortlaut von Art. 19 Abs. 3 GG gelten die Grundrechte „für inländische juristische Personen“. Wegen der Beschränkung auf inländische juristische Personen lässt sich eine Anwendungserweiterung nicht mit dem Wortlaut von Art. 19 Abs. 3 GG begründen. Es würde die Wortlautgrenze übersteigen, wollte man seine unionsrechtskonforme Auslegung auf eine Deutung des Merkmals „inländische“ als „deutsche einschließlich europäische“ juristische Personen stützen. Auch wenn das Territorium der Mitgliedstaaten der Europäischen Union angesichts des ihren Bürgern gewährleisteten Raumes „der Freiheit, der Sicherheit und des Rechts ohne Binnengrenzen“ mit freiem Personenverkehr (Art. 3 Abs. 2 EUV) nicht mehr „Ausland“ im klassischen Sinne sein mag, wird es dadurch nicht zum „Inland“ im Sinne der territorialen Gebietshoheit (vgl. BVerfGE 123, 267 &lt;402 f.&gt;).</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80" w:name="abs73"/>
      <w:r w:rsidRPr="00CF3C20">
        <w:rPr>
          <w:rFonts w:ascii="Times New Roman" w:eastAsia="Times New Roman" w:hAnsi="Times New Roman" w:cs="Times New Roman"/>
          <w:sz w:val="24"/>
          <w:szCs w:val="24"/>
          <w:lang w:val="en-US" w:eastAsia="it-IT"/>
        </w:rPr>
        <w:t>73</w:t>
      </w:r>
      <w:bookmarkEnd w:id="80"/>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Der Vorschrift lag jedoch kein Wille des Verfassungsgebers zugrunde, eine Berufung auf die Grundrechte auch seitens juristischer Personen aus Mitgliedstaaten der Europäischen Union dauerhaft auszuschließen. Der Allgemeine Redaktionsausschuss des Parlamentarischen Rats kam in einem Entwurf eines Art. 20a GG, der dem heutigen Art. 19 Abs. 3 GG entsprach, zu dem Schluss, es „dürfte kein Anlass bestehen, auch ausländischen juristischen Personen den verfassungsmäßigen Schutz der Grundrechte zu gewähren“ (Parlamentarischer Rat, Drucks. 370 vom 13. Dezember 1948). Aus diesem Grund hatte der Vorsitzende des Ausschusses für Grundsatzfragen, v. Mangoldt, vorgeschlagen, das Wort „inländische“ einzufügen, womit sich der Ausschuss einverstanden erklärte (Kurzprotokoll der 32. Sitzung des Ausschusses für Grundsatzfragen, Drucks. 578 vom 11. Januar 1949, S. 10).</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81" w:name="abs74"/>
      <w:r w:rsidRPr="00CF3C20">
        <w:rPr>
          <w:rFonts w:ascii="Times New Roman" w:eastAsia="Times New Roman" w:hAnsi="Times New Roman" w:cs="Times New Roman"/>
          <w:sz w:val="24"/>
          <w:szCs w:val="24"/>
          <w:lang w:val="en-US" w:eastAsia="it-IT"/>
        </w:rPr>
        <w:t>74</w:t>
      </w:r>
      <w:bookmarkEnd w:id="81"/>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In den Jahren 1948/49 stand die Entwicklung eines gemeinsamen Europas noch am Anfang. Seitdem hat die Europäische Union zunehmend Gestalt angenommen und ist heute als hochintegrierter „Staatenverbund“ (BVerfGE 123, 267 &lt;348&gt;) ausgestaltet, an dem die Bundesrepublik Deutschland gemäß Art. 23 Abs. 1 GG mitwirkt. Die Anwendungserweiterung von Art. 19 Abs. 3 GG nimmt diese Entwicklung auf.</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82" w:name="abs75"/>
      <w:r w:rsidRPr="00CF3C20">
        <w:rPr>
          <w:rFonts w:ascii="Times New Roman" w:eastAsia="Times New Roman" w:hAnsi="Times New Roman" w:cs="Times New Roman"/>
          <w:sz w:val="24"/>
          <w:szCs w:val="24"/>
          <w:lang w:val="en-US" w:eastAsia="it-IT"/>
        </w:rPr>
        <w:t>75</w:t>
      </w:r>
      <w:bookmarkEnd w:id="82"/>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lastRenderedPageBreak/>
        <w:t>2. Die Anwendungserweiterung des Grundrechtsschutzes auf juristische Personen aus der Europäischen Union entspricht den durch die europäischen Verträge übernommenen vertraglichen Verpflichtungen, wie sie insbesondere in den europäischen Grundfreiheiten und - subsidiär - dem allgemeinen Diskriminierungsverbot des Art. 18 AEUV zum Ausdruck kommen. Die Grundfreiheiten und das allgemeine Diskriminierungsverbot stehen im Anwendungsbereich des Unionsrechts einer Ungleichbehandlung in- und ausländischer Unternehmen aus der Europäischen Union entgegen und drängen insoweit die in Art. 19 Abs. 3 GG vorgesehene Beschränkung der Grundrechtserstreckung auf inländische juristische Personen zurück.</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83" w:name="abs76"/>
      <w:r w:rsidRPr="00CF3C20">
        <w:rPr>
          <w:rFonts w:ascii="Times New Roman" w:eastAsia="Times New Roman" w:hAnsi="Times New Roman" w:cs="Times New Roman"/>
          <w:sz w:val="24"/>
          <w:szCs w:val="24"/>
          <w:lang w:val="en-US" w:eastAsia="it-IT"/>
        </w:rPr>
        <w:t>76</w:t>
      </w:r>
      <w:bookmarkEnd w:id="83"/>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a) Das Verbot der Diskriminierung aus Gründen der Staatsangehörigkeit ist seit 1957 in den europäischen Verträgen verankert und wurde im Lissabonner Vertrag unverändert in Art. 18 AEUV übernommen. Es ist ein Grundprinzip des Unionsrechts (EuGH, Urteil vom 27. Oktober 2009 - C-115/08 Österreich/CEZ -, EuZW 2010, S. 26, Rn. 89; vgl. schon H. P. Ipsen, Europäisches Gemeinschaftsrecht, 1972, S. 592), das in den Grundfreiheiten weiter ausgestaltet wird. Das Diskriminierungsverbot gehört zum Kernbestand der Unionsbürgerschaft und ist unmittelbar vor mitgliedstaatlichen Gerichten anwendbar; es begünstigt neben natürlichen auch juristische Personen (vgl. EuGH, Urteil vom 20. Oktober 1993 - Phil Collins -, a.a.O., Rn. 30 ff.). Das allgemeine und die speziellen Diskriminierungsverbote verpflichten die Mitgliedstaaten und alle ihre Organe und Stellen, juristische Personen aus einem anderen EU-Mitgliedstaat auch im Hinblick auf den zu erlangenden Rechtsschutz Inländern gleichzustellen. In einem Vorabentscheidungsverfahren auf Vorlage des Bundesgerichtshofs hat der Europäische Gerichtshof bereits entschieden, dass die europarechtliche Niederlassungsfreiheit eine nichtdiskriminierende Beurteilung der Rechts- und damit Parteifähigkeit vor deutschen Zivilgerichten verlangt (Urteil vom 5. November 2002 - Überseering -, a.a.O., Rn. 76 ff.).</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84" w:name="abs77"/>
      <w:r w:rsidRPr="00CF3C20">
        <w:rPr>
          <w:rFonts w:ascii="Times New Roman" w:eastAsia="Times New Roman" w:hAnsi="Times New Roman" w:cs="Times New Roman"/>
          <w:sz w:val="24"/>
          <w:szCs w:val="24"/>
          <w:lang w:val="en-US" w:eastAsia="it-IT"/>
        </w:rPr>
        <w:t>77</w:t>
      </w:r>
      <w:bookmarkEnd w:id="84"/>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b) Eine Anwendungserweiterung erübrigt sich nicht, weil ein gleichwertiger Schutz der Beschwerdeführerin anderweitig gesichert wäre. Zwar können sich juristische Personen mit Sitz in einem anderen EU-Mitgliedstaat in fachgerichtlichen Verfahren ohnehin auf die unmittelbare Geltung des primären Unionsrechts stützen und bleiben somit auch ohne Berufung auf die deutschen Grundrechte nicht ohne Rechtsschutz. Für einen gleichwertigen Schutz im Anwendungsbereich der unionsrechtlichen Diskriminierungsverbote reicht es jedoch nicht aus, wenn ausländische juristische Personen zwar im fachgerichtlichen Verfahren auf eine materielle Gleichstellung mit inländischen juristischen Personen hinwirken, ihre Rechte aber gemäß Art. 93 Abs. 1 Nr. 4a GG mangels Grundrechtsträgerschaft nicht auch mit Hilfe des Bundesverfassungsgerichts durchsetzen können.</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85" w:name="abs78"/>
      <w:r w:rsidRPr="00CF3C20">
        <w:rPr>
          <w:rFonts w:ascii="Times New Roman" w:eastAsia="Times New Roman" w:hAnsi="Times New Roman" w:cs="Times New Roman"/>
          <w:sz w:val="24"/>
          <w:szCs w:val="24"/>
          <w:lang w:val="en-US" w:eastAsia="it-IT"/>
        </w:rPr>
        <w:t>78</w:t>
      </w:r>
      <w:bookmarkEnd w:id="85"/>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 xml:space="preserve">c) Ein Eingreifen der aus den Grundfreiheiten und Art. 18 AEUV abgeleiteten unionsrechtlichen Diskriminierungsverbote setzt voraus, dass die betroffenen juristischen Personen aus der Europäischen Union im Anwendungsbereich des Unionsrechts tätig werden. Der Anwendungsbereich der Verträge richtet sich insoweit nach dem jeweiligen Stand des Primär- und Sekundärrechts der Europäischen Union und damit nach den ihr in den europäischen Verträgen übertragenen Hoheitsrechten (Art. 23 Abs. 1 Satz 2 GG, Art. 5 Abs. 1 Satz 1, Abs. 2 EUV, vgl. BVerfGE 123, 267 &lt;349 ff.&gt;; 126, 286 &lt;302&gt;). Insbesondere ist er bei der Verwirklichung der Grundfreiheiten des Vertrags und dem Vollzug des Unionsrechts eröffnet. Die Tätigkeit der Beschwerdeführerin, die sich unter anderem auf unionsrechtlich (teil-)harmonisiertes Urheberrecht </w:t>
      </w:r>
      <w:r w:rsidRPr="00CF3C20">
        <w:rPr>
          <w:rFonts w:ascii="Times New Roman" w:eastAsia="Times New Roman" w:hAnsi="Times New Roman" w:cs="Times New Roman"/>
          <w:sz w:val="24"/>
          <w:szCs w:val="24"/>
          <w:lang w:val="en-US" w:eastAsia="it-IT"/>
        </w:rPr>
        <w:lastRenderedPageBreak/>
        <w:t>beruft, welches durch wirtschaftliche Aktivitäten in Deutschland verletzt worden sein soll, fällt in den Anwendungsbereich der Verträge in diesem Sinne (vgl. EuGH, Urteil vom 20. Oktober 1993 - Phil Collins -, a.a.O., Rn. 22, 27; Urteil vom 6. Juni 2002 - C-360/00 Ricordi -, Slg. 2002, S. I-5088, Rn. 24).</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86" w:name="abs79"/>
      <w:r w:rsidRPr="00CF3C20">
        <w:rPr>
          <w:rFonts w:ascii="Times New Roman" w:eastAsia="Times New Roman" w:hAnsi="Times New Roman" w:cs="Times New Roman"/>
          <w:sz w:val="24"/>
          <w:szCs w:val="24"/>
          <w:lang w:val="en-US" w:eastAsia="it-IT"/>
        </w:rPr>
        <w:t>79</w:t>
      </w:r>
      <w:bookmarkEnd w:id="86"/>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d) Durch die Anwendungserweiterung des Art. 19 Abs. 3 GG werden juristische Personen mit einem Sitz im EU-Ausland ebenso behandelt wie inländische juristische Personen. Dies impliziert umgekehrt, dass EU-Ausländern die gleichen Vorschriften der Verfassung wie inländischen juristischen Personen entgegengehalten werden können. Voraussetzung der Berufungsmöglichkeit auf die Grundrechte ist demnach ein hinreichender Inlandsbezug der ausländischen juristischen Person, der die Geltung der Grundrechte in gleicher Weise wie für inländische juristische Personen geboten erscheinen lässt. Dies wird regelmäßig dann der Fall sein, wenn die ausländische juristische Person in Deutschland tätig wird und hier vor den Fachgerichten klagen und verklagt werden kann (so der Sache nach zu den Prozessgrundrechten bereits BVerfGE 12, 6 &lt;8&gt;; 18, 441 &lt; 447&gt;).</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87" w:name="abs80"/>
      <w:r w:rsidRPr="00CF3C20">
        <w:rPr>
          <w:rFonts w:ascii="Times New Roman" w:eastAsia="Times New Roman" w:hAnsi="Times New Roman" w:cs="Times New Roman"/>
          <w:sz w:val="24"/>
          <w:szCs w:val="24"/>
          <w:lang w:val="en-US" w:eastAsia="it-IT"/>
        </w:rPr>
        <w:t>80</w:t>
      </w:r>
      <w:bookmarkEnd w:id="87"/>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e) Einer Vorlage an den Europäischen Gerichtshof durch das Bundesverfassungsgericht bedarf es nicht. Die nationalen Gerichte sind selbst dazu befugt, eine unionsrechtskonforme Auslegung des nationalen Rechts vorzunehmen. Die richtige Auslegung der unionsrechtlichen Diskriminierungsverbote ist hier so offenkundig, dass keinerlei Raum für vernünftige Zweifel bleibt („acte clair“; vgl. EuGH, Urteil vom 6. Oktober 1982 - Rs. 283/81 C.I.L.F.I.T. -, Slg. 1982, S. 3415, Rn. 16).</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88" w:name="abs81"/>
      <w:r w:rsidRPr="00CF3C20">
        <w:rPr>
          <w:rFonts w:ascii="Times New Roman" w:eastAsia="Times New Roman" w:hAnsi="Times New Roman" w:cs="Times New Roman"/>
          <w:sz w:val="24"/>
          <w:szCs w:val="24"/>
          <w:lang w:val="en-US" w:eastAsia="it-IT"/>
        </w:rPr>
        <w:t>81</w:t>
      </w:r>
      <w:bookmarkEnd w:id="88"/>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 xml:space="preserve">3. Die Anwendungserweiterung des Art. 19 Abs. 3 GG auf juristische Personen aus anderen Mitgliedstaaten der Europäischen Union reagiert auf die europäische Vertrags- und Rechtsentwicklung und vermeidet eine Kollision mit dem Unionsrecht. Die Bundesrepublik Deutschland ist an Art. 18 AEUV und die sich aus den Grundfreiheiten ergebenden Diskriminierungsverbote einschließlich ihres Anwendungsvorrangs vor nationalem Recht (vgl. BVerfGE 126, 286 &lt;301 f.&gt;) gebunden. Die Anwendungserweiterung beachtet den Grundsatz, dass das supranational begründete Recht der Europäischen Union keine rechtsvernichtende, derogierende Wirkung gegenüber dem mitgliedstaatlichen Recht entfaltet, sondern nur dessen Anwendung soweit zurückdrängt, wie es die Verträge erfordern und es die durch das Zustimmungsgesetz erteilten Rechtsanwendungsbefehle erlauben. Mitgliedstaatliches Recht wird insoweit lediglich unanwendbar (vgl. BVerfGE 123, 267 &lt;398 ff.&gt;; 126, 286 &lt; 301 f.&gt;). Die europarechtlichen Vorschriften verdrängen Art. 19 Abs. 3 GG nicht, sondern veranlassen lediglich die Erstreckung des Grundrechtsschutzes auf weitere Rechtssubjekte des Binnenmarkts. Art. 23 Abs. 1 Satz 2, 3 GG erlaubt, unter Wahrung der in Art. 79 Abs. 2, 3 GG genannten Voraussetzungen Hoheitsgewalt auch insoweit auf die Europäische Union zu übertragen, als dadurch die Reichweite der Gewährleistungen des Grundgesetzes geändert oder ergänzt wird, ohne dass dabei das Zitiergebot des Art. 79 Abs. 1 Satz 1 GG eingreift (vgl. Bericht der Gemeinsamen Verfassungskommission vom 5. November 1993, BTDrucks 12/6000, S. 21; Pernice, in: H. Dreier, GG, Bd. 2, 2. Aufl. 2006, Art. 23 Rn. 87; Scholz, in: Maunz/Dürig, GG, Oktober 2009, Art. 23 Rn. 115). Mit der vertraglichen Zustimmung der Bundesrepublik Deutschland zu den Vorläuferregelungen zu Art. 18 AEUV und zu den Grundfreiheiten wurde unter Wahrung der Grenzen des Art. 79 Abs. 2, 3 GG auch der Anwendungsvorrang der unionsrechtlichen Diskriminierungsverbote mit der von Art. 23 Abs. 1 Satz 3 GG geforderten Mehrheit gebilligt (vgl. BVerfGE 126, 286 &lt; 302&gt;). Dies wirkt sich </w:t>
      </w:r>
      <w:r w:rsidRPr="00CF3C20">
        <w:rPr>
          <w:rFonts w:ascii="Times New Roman" w:eastAsia="Times New Roman" w:hAnsi="Times New Roman" w:cs="Times New Roman"/>
          <w:sz w:val="24"/>
          <w:szCs w:val="24"/>
          <w:lang w:val="en-US" w:eastAsia="it-IT"/>
        </w:rPr>
        <w:lastRenderedPageBreak/>
        <w:t>auch auf den Anwendungsbereich der Grundrechte aus, sofern eine Erstreckung der Grundrechtsgeltung auf juristische Personen aus der Europäischen Union veranlasst ist, um im Anwendungsbereich der unionsrechtlichen Diskriminierungsverbote eine Ungleichbehandlung hinsichtlich der Grundrechtsträgerschaft zu vermeiden. Die einzelnen Grundrechte des Grundgesetzes verändern sich durch die Erweiterung des Art. 19 Abs. 3 GG jedoch nicht.</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89" w:name="abs82"/>
      <w:r w:rsidRPr="00CF3C20">
        <w:rPr>
          <w:rFonts w:ascii="Times New Roman" w:eastAsia="Times New Roman" w:hAnsi="Times New Roman" w:cs="Times New Roman"/>
          <w:sz w:val="24"/>
          <w:szCs w:val="24"/>
          <w:lang w:val="en-US" w:eastAsia="it-IT"/>
        </w:rPr>
        <w:t>82</w:t>
      </w:r>
      <w:bookmarkEnd w:id="89"/>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4. Die dem Bundesverfassungsgericht aufgegebene Kontrolle des europäischen Rechts auf Erhaltung der Identität der nationalen Verfassung, auf Einhaltung der nach dem System der begrenzten Einzelermächtigung überlassenen Kompetenzen und der Gewährleistung eines im Wesentlichen dem deutschen Grundrechtsschutz gleichkommenden Schutzniveaus bleibt erhalten. Die Identität der Verfassung (vgl. BVerfGE 123, 267 &lt;354, 398 ff.&gt;; 126, 286 &lt; 302 f.&gt;) wird durch die Erweiterung der Anwendung des Art. 19 Abs. 3 GG offensichtlich nicht berührt.</w:t>
      </w:r>
    </w:p>
    <w:p w:rsidR="00CF3C20" w:rsidRPr="00CF3C20" w:rsidRDefault="00CF3C20" w:rsidP="00CF3C20">
      <w:pPr>
        <w:spacing w:before="100" w:beforeAutospacing="1" w:after="100" w:afterAutospacing="1" w:line="240" w:lineRule="auto"/>
        <w:outlineLvl w:val="4"/>
        <w:rPr>
          <w:rFonts w:ascii="Times New Roman" w:eastAsia="Times New Roman" w:hAnsi="Times New Roman" w:cs="Times New Roman"/>
          <w:b/>
          <w:bCs/>
          <w:sz w:val="20"/>
          <w:szCs w:val="20"/>
          <w:lang w:val="en-US" w:eastAsia="it-IT"/>
        </w:rPr>
      </w:pPr>
      <w:r w:rsidRPr="00CF3C20">
        <w:rPr>
          <w:rFonts w:ascii="Times New Roman" w:eastAsia="Times New Roman" w:hAnsi="Times New Roman" w:cs="Times New Roman"/>
          <w:b/>
          <w:bCs/>
          <w:sz w:val="20"/>
          <w:szCs w:val="20"/>
          <w:lang w:val="en-US" w:eastAsia="it-IT"/>
        </w:rPr>
        <w:t>II.</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90" w:name="abs83"/>
      <w:r w:rsidRPr="00CF3C20">
        <w:rPr>
          <w:rFonts w:ascii="Times New Roman" w:eastAsia="Times New Roman" w:hAnsi="Times New Roman" w:cs="Times New Roman"/>
          <w:sz w:val="24"/>
          <w:szCs w:val="24"/>
          <w:lang w:val="en-US" w:eastAsia="it-IT"/>
        </w:rPr>
        <w:t>83</w:t>
      </w:r>
      <w:bookmarkEnd w:id="90"/>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Art. 14 Abs. 1 GG ist durch das angegriffene Urteil nicht verletzt. Zwar unterfällt das Urheberrecht der Beschwerdeführerin dem verfassungsmäßigen Recht am Eigentum (1.), welches die Gerichte bei der Auslegung nationalen Rechts zu beachten haben, soweit das europäische Recht hierbei Auslegungsspielräume lässt (2.). Die richtlinienkonforme Auslegung der streitentscheidenden Vorschriften der §§ 17, 96 UrhG durch den Bundesgerichtshof ist aber mit dem Grundgesetz vereinbar (3.).</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91" w:name="abs84"/>
      <w:r w:rsidRPr="00CF3C20">
        <w:rPr>
          <w:rFonts w:ascii="Times New Roman" w:eastAsia="Times New Roman" w:hAnsi="Times New Roman" w:cs="Times New Roman"/>
          <w:sz w:val="24"/>
          <w:szCs w:val="24"/>
          <w:lang w:val="en-US" w:eastAsia="it-IT"/>
        </w:rPr>
        <w:t>84</w:t>
      </w:r>
      <w:bookmarkEnd w:id="91"/>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1. Das in §§ 17, 96 UrhG gesetzlich ausgestaltete Recht des Urhebers, die Verbreitung von Vervielfältigungsstücken seines Werks zu kontrollieren, stellt Eigentum im Sinne von Art. 14 Abs. 1 GG dar. Nach diesen Vorschriften kommen auch Urheber angewandter Kunst in den Genuss dieses Rechts, soweit das Design die erforderliche Gestaltungshöhe besitzt. Dies ist hier unstreitig der Fall.</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92" w:name="abs85"/>
      <w:r w:rsidRPr="00CF3C20">
        <w:rPr>
          <w:rFonts w:ascii="Times New Roman" w:eastAsia="Times New Roman" w:hAnsi="Times New Roman" w:cs="Times New Roman"/>
          <w:sz w:val="24"/>
          <w:szCs w:val="24"/>
          <w:lang w:val="en-US" w:eastAsia="it-IT"/>
        </w:rPr>
        <w:t>85</w:t>
      </w:r>
      <w:bookmarkEnd w:id="92"/>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Zu den konstituierenden Merkmalen des Urheberrechts als Eigentum im Sinne der Verfassung gehören die grundsätzliche Zuordnung des vermögenswerten Ergebnisses der schöpferischen Leistung an den Urheber im Wege privatrechtlicher Normierung sowie seine Freiheit, in eigener Verantwortung darüber verfügen zu können. Im Einzelnen ist es Sache des Gesetzgebers, im Rahmen der inhaltlichen Ausgestaltung des Urheberrechts nach Art. 14 Abs. 1 Satz 2 GG sachgerechte Maßstäbe festzulegen, die eine der Natur und der sozialen Bedeutung des Rechts entsprechende Nutzung und angemessene Verwertung sicherstellen (vgl. BVerfGE 31, 229 &lt;240 f.&gt;; 79, 1 &lt; 25&gt;). Dabei hat der Gesetzgeber einen verhältnismäßig weiten Gestaltungsraum (vgl. BVerfGE 21, 73 &lt;83&gt;; 79, 1 &lt; 25&gt;; 79, 29 &lt;40&gt;). Die Eigentumsgarantie gebietet nicht, dem Urheber jede nur denkbare wirtschaftliche Verwertungsmöglichkeit zuzuordnen (vgl. BVerfGE 31, 248 &lt;252&gt;; 31, 275 &lt; 287&gt;).</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93" w:name="abs86"/>
      <w:r w:rsidRPr="00CF3C20">
        <w:rPr>
          <w:rFonts w:ascii="Times New Roman" w:eastAsia="Times New Roman" w:hAnsi="Times New Roman" w:cs="Times New Roman"/>
          <w:sz w:val="24"/>
          <w:szCs w:val="24"/>
          <w:lang w:val="en-US" w:eastAsia="it-IT"/>
        </w:rPr>
        <w:t>86</w:t>
      </w:r>
      <w:bookmarkEnd w:id="93"/>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lastRenderedPageBreak/>
        <w:t>2. a) Die Zivilgerichte haben bei der Auslegung und Anwendung des Urheberrechts die durch die Eigentumsgarantie gezogenen Grenzen zu beachten und müssen die im Gesetz zum Ausdruck kommende Interessenabwägung in einer Weise nachvollziehen, die den Eigentumsschutz der Urheber ebenso wie etwaige damit konkurrierende Grundrechtspositionen beachtet und unverhältnismäßige Grundrechtsbeschränkungen vermeidet (vgl. BVerfGE 89, 1 &lt; 9&gt;). Sind bei der gerichtlichen Auslegung und Anwendung einfachrechtlicher Normen mehrere Deutungen möglich, so verdient diejenige den Vorzug, die den Wertentscheidungen der Verfassung entspricht (vgl. BVerfGE 8, 210 &lt;221&gt;; 88, 145 &lt;166&gt;) und die die Grundrechte der Beteiligten möglichst weitgehend in praktischer Konkordanz zur Geltung bringt. Der Einfluss der Grundrechte auf die Auslegung und Anwendung der zivilrechtlichen Normen ist nicht auf Generalklauseln beschränkt, sondern erstreckt sich auf alle auslegungsfähigen und -bedürftigen Tatbestandsmerkmale der zivilrechtlichen Vorschriften (vgl. BVerfGE 112, 332 &lt; 358&gt; m.w.N.).</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94" w:name="abs87"/>
      <w:r w:rsidRPr="00CF3C20">
        <w:rPr>
          <w:rFonts w:ascii="Times New Roman" w:eastAsia="Times New Roman" w:hAnsi="Times New Roman" w:cs="Times New Roman"/>
          <w:sz w:val="24"/>
          <w:szCs w:val="24"/>
          <w:lang w:val="en-US" w:eastAsia="it-IT"/>
        </w:rPr>
        <w:t>87</w:t>
      </w:r>
      <w:bookmarkEnd w:id="94"/>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fr-BE" w:eastAsia="it-IT"/>
        </w:rPr>
      </w:pPr>
      <w:r w:rsidRPr="00CF3C20">
        <w:rPr>
          <w:rFonts w:ascii="Times New Roman" w:eastAsia="Times New Roman" w:hAnsi="Times New Roman" w:cs="Times New Roman"/>
          <w:sz w:val="24"/>
          <w:szCs w:val="24"/>
          <w:lang w:val="en-US" w:eastAsia="it-IT"/>
        </w:rPr>
        <w:t xml:space="preserve">Wie etwa im Mietrecht und im Arbeitsrecht ist es allerdings auch in urheberrechtlichen Streitigkeiten regelmäßig nicht Sache des Bundesverfassungsgerichts, den Zivilgerichten vorzugeben, wie sie im Ergebnis zu entscheiden haben (vgl. BVerfG, Beschluss der 2. </w:t>
      </w:r>
      <w:r w:rsidRPr="00CF3C20">
        <w:rPr>
          <w:rFonts w:ascii="Times New Roman" w:eastAsia="Times New Roman" w:hAnsi="Times New Roman" w:cs="Times New Roman"/>
          <w:sz w:val="24"/>
          <w:szCs w:val="24"/>
          <w:lang w:val="fr-BE" w:eastAsia="it-IT"/>
        </w:rPr>
        <w:t>Kammer des Ersten Senats vom 21. Dezember 2010 - 1 BvR 2760/08 -, GRUR 2011, S. 223, Rn. 19 m.w.N.). Die Schwelle eines Verstoßes gegen Verfassungsrecht, den das Bundesverfassungsgericht zu korrigieren hat, ist vielmehr erst erreicht, wenn die Auslegung der Zivilgerichte Fehler erkennen lässt, die auf einer grundsätzlich unrichtigen Anschauung von der Bedeutung der Eigentumsgarantie, insbesondere vom Umfang ihres Schutzbereichs, beruhen und auch in ihrer materiellen Bedeutung für den konkreten Rechtsfall von einigem Gewicht sind, insbesondere weil darunter die Abwägung der beiderseitigen Rechtspositionen im Rahmen der privatrechtlichen Regelung leidet (vgl. BVerfGE 89, 1 &lt;9 f.&gt;; 95, 28 &lt; 37&gt;; 97, 391 &lt; 401&gt;; 112, 332 &lt; 358 f.&gt;).</w:t>
      </w:r>
    </w:p>
    <w:p w:rsidR="00CF3C20" w:rsidRPr="00CF3C20" w:rsidRDefault="00CF3C20" w:rsidP="00CF3C20">
      <w:pPr>
        <w:spacing w:after="0" w:line="240" w:lineRule="auto"/>
        <w:rPr>
          <w:rFonts w:ascii="Times New Roman" w:eastAsia="Times New Roman" w:hAnsi="Times New Roman" w:cs="Times New Roman"/>
          <w:sz w:val="24"/>
          <w:szCs w:val="24"/>
          <w:lang w:val="fr-BE" w:eastAsia="it-IT"/>
        </w:rPr>
      </w:pPr>
      <w:bookmarkStart w:id="95" w:name="abs88"/>
      <w:r w:rsidRPr="00CF3C20">
        <w:rPr>
          <w:rFonts w:ascii="Times New Roman" w:eastAsia="Times New Roman" w:hAnsi="Times New Roman" w:cs="Times New Roman"/>
          <w:sz w:val="24"/>
          <w:szCs w:val="24"/>
          <w:lang w:val="fr-BE" w:eastAsia="it-IT"/>
        </w:rPr>
        <w:t>88</w:t>
      </w:r>
      <w:bookmarkEnd w:id="95"/>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fr-BE" w:eastAsia="it-IT"/>
        </w:rPr>
      </w:pPr>
      <w:r w:rsidRPr="00CF3C20">
        <w:rPr>
          <w:rFonts w:ascii="Times New Roman" w:eastAsia="Times New Roman" w:hAnsi="Times New Roman" w:cs="Times New Roman"/>
          <w:sz w:val="24"/>
          <w:szCs w:val="24"/>
          <w:lang w:val="fr-BE" w:eastAsia="it-IT"/>
        </w:rPr>
        <w:t>b) Ein Grundrechtsverstoß liegt insbesondere auch dann vor, wenn das Zivilgericht den grundrechtlichen Einfluss überhaupt nicht berücksichtigt oder unzutreffend eingeschätzt hat und die Entscheidung auf der Verkennung des Grundrechtseinflusses beruht (vgl. BVerfGE 97, 391 &lt; 401&gt;). Dies kann der Fall sein, wenn sich ein Gericht in der Annahme, an vermeintlich zwingendes Unionsrecht gebunden zu sein, an der Berücksichtigung der Grundrechte des Grundgesetzes gehindert sieht. Lässt das Unionsrecht den Mitgliedstaaten einen Umsetzungsspielraum, ist dieser grundgesetzkonform auszufüllen (vgl. BVerfGE 113, 273 &lt; 300 ff.&gt;). Die Fachgerichte müssen den Einfluss der Grundrechte bei der Auslegung zivilrechtlicher Vorschriften des nationalen Rechts, die unionsrechtlich nicht oder nicht vollständig determiniert sind, zur Geltung bringen (vgl. BVerfGE 118, 79 &lt; 95 ff.&gt;).</w:t>
      </w:r>
    </w:p>
    <w:p w:rsidR="00CF3C20" w:rsidRPr="00CF3C20" w:rsidRDefault="00CF3C20" w:rsidP="00CF3C20">
      <w:pPr>
        <w:spacing w:after="0" w:line="240" w:lineRule="auto"/>
        <w:rPr>
          <w:rFonts w:ascii="Times New Roman" w:eastAsia="Times New Roman" w:hAnsi="Times New Roman" w:cs="Times New Roman"/>
          <w:sz w:val="24"/>
          <w:szCs w:val="24"/>
          <w:lang w:val="fr-BE" w:eastAsia="it-IT"/>
        </w:rPr>
      </w:pPr>
      <w:bookmarkStart w:id="96" w:name="abs89"/>
      <w:r w:rsidRPr="00CF3C20">
        <w:rPr>
          <w:rFonts w:ascii="Times New Roman" w:eastAsia="Times New Roman" w:hAnsi="Times New Roman" w:cs="Times New Roman"/>
          <w:sz w:val="24"/>
          <w:szCs w:val="24"/>
          <w:lang w:val="fr-BE" w:eastAsia="it-IT"/>
        </w:rPr>
        <w:t>89</w:t>
      </w:r>
      <w:bookmarkEnd w:id="96"/>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fr-BE" w:eastAsia="it-IT"/>
        </w:rPr>
      </w:pPr>
      <w:r w:rsidRPr="00CF3C20">
        <w:rPr>
          <w:rFonts w:ascii="Times New Roman" w:eastAsia="Times New Roman" w:hAnsi="Times New Roman" w:cs="Times New Roman"/>
          <w:sz w:val="24"/>
          <w:szCs w:val="24"/>
          <w:lang w:val="fr-BE" w:eastAsia="it-IT"/>
        </w:rPr>
        <w:t>Ob ein Umsetzungsspielraum besteht, ist durch Auslegung des dem nationalen Umsetzungsrecht zugrunde liegenden Unionsrechts, insbesondere also der umgesetzten Richtlinien zu ermitteln. Die Auslegung unionsrechtlicher Sekundärrechtsakte obliegt auf nationaler Ebene zuvörderst den Fachgerichten. Diese haben dabei gegebenenfalls die Notwendigkeit eines Vorabentscheidungsersuchens nach Art. 267 AEUV - auch in Bezug auf den Schutz der Grundrechte - in Betracht zu ziehen.</w:t>
      </w:r>
    </w:p>
    <w:p w:rsidR="00CF3C20" w:rsidRPr="00CF3C20" w:rsidRDefault="00CF3C20" w:rsidP="00CF3C20">
      <w:pPr>
        <w:spacing w:after="0" w:line="240" w:lineRule="auto"/>
        <w:rPr>
          <w:rFonts w:ascii="Times New Roman" w:eastAsia="Times New Roman" w:hAnsi="Times New Roman" w:cs="Times New Roman"/>
          <w:sz w:val="24"/>
          <w:szCs w:val="24"/>
          <w:lang w:val="fr-BE" w:eastAsia="it-IT"/>
        </w:rPr>
      </w:pPr>
      <w:bookmarkStart w:id="97" w:name="abs90"/>
      <w:r w:rsidRPr="00CF3C20">
        <w:rPr>
          <w:rFonts w:ascii="Times New Roman" w:eastAsia="Times New Roman" w:hAnsi="Times New Roman" w:cs="Times New Roman"/>
          <w:sz w:val="24"/>
          <w:szCs w:val="24"/>
          <w:lang w:val="fr-BE" w:eastAsia="it-IT"/>
        </w:rPr>
        <w:t>90</w:t>
      </w:r>
      <w:bookmarkEnd w:id="97"/>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fr-BE" w:eastAsia="it-IT"/>
        </w:rPr>
      </w:pPr>
      <w:r w:rsidRPr="00CF3C20">
        <w:rPr>
          <w:rFonts w:ascii="Times New Roman" w:eastAsia="Times New Roman" w:hAnsi="Times New Roman" w:cs="Times New Roman"/>
          <w:sz w:val="24"/>
          <w:szCs w:val="24"/>
          <w:lang w:val="fr-BE" w:eastAsia="it-IT"/>
        </w:rPr>
        <w:lastRenderedPageBreak/>
        <w:t>Halten die Fachgerichte eine vollständige Bindung durch das Unionsrecht ohne Vorabentscheidungsersuchen an den Europäischen Gerichtshof für eindeutig, unterliegt dies der Überprüfung durch das Bundesverfassungsgericht. Hierbei ist es nicht auf eine bloße Willkürkontrolle beschränkt. Denn mit der Feststellung oder Verneinung eines unionsrechtlichen Umsetzungsspielraums wird zunächst durch die Fachgerichte darüber entschieden, ob Grundrechte des Grundgesetzes berücksichtigt werden müssen und ob das Bundesverfassungsgericht nach seiner Rechtsprechung die Überprüfung nationaler Umsetzungsakte am Maßstab des Grundgesetzes zurücknimmt, solange die Europäische Union einschließlich der Rechtsprechung des Europäischen Gerichtshofs einen wirksamen Schutz der Grundrechte gewährleisten, der nach Inhalt und Wirksamkeit dem Grundrechtsschutz, wie er nach dem Grundgesetz unabdingbar ist, im Wesentlichen gleichkommt (vgl. BVerfGE 73, 339 &lt;387&gt;; 102, 147 &lt; 161&gt;; 123, 267 &lt; 335&gt;).</w:t>
      </w:r>
    </w:p>
    <w:p w:rsidR="00CF3C20" w:rsidRPr="00CF3C20" w:rsidRDefault="00CF3C20" w:rsidP="00CF3C20">
      <w:pPr>
        <w:spacing w:after="0" w:line="240" w:lineRule="auto"/>
        <w:rPr>
          <w:rFonts w:ascii="Times New Roman" w:eastAsia="Times New Roman" w:hAnsi="Times New Roman" w:cs="Times New Roman"/>
          <w:sz w:val="24"/>
          <w:szCs w:val="24"/>
          <w:lang w:val="fr-BE" w:eastAsia="it-IT"/>
        </w:rPr>
      </w:pPr>
      <w:bookmarkStart w:id="98" w:name="abs91"/>
      <w:r w:rsidRPr="00CF3C20">
        <w:rPr>
          <w:rFonts w:ascii="Times New Roman" w:eastAsia="Times New Roman" w:hAnsi="Times New Roman" w:cs="Times New Roman"/>
          <w:sz w:val="24"/>
          <w:szCs w:val="24"/>
          <w:lang w:val="fr-BE" w:eastAsia="it-IT"/>
        </w:rPr>
        <w:t>91</w:t>
      </w:r>
      <w:bookmarkEnd w:id="98"/>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fr-BE" w:eastAsia="it-IT"/>
        </w:rPr>
      </w:pPr>
      <w:r w:rsidRPr="00CF3C20">
        <w:rPr>
          <w:rFonts w:ascii="Times New Roman" w:eastAsia="Times New Roman" w:hAnsi="Times New Roman" w:cs="Times New Roman"/>
          <w:sz w:val="24"/>
          <w:szCs w:val="24"/>
          <w:lang w:val="fr-BE" w:eastAsia="it-IT"/>
        </w:rPr>
        <w:t>c) Fehlt es an einem mitgliedstaatlichen Umsetzungsspielraum, muss das Fachgericht das anwendbare Unionsrecht bei gegebenem Anlass auf seine Vereinbarkeit mit den Unionsgrundrechten prüfen und, wenn erforderlich, ein Vorabentscheidungsverfahren nach Art. 267 AEUV einleiten (vgl. BVerfGE 118, 79 &lt;97&gt;). Dasselbe gilt, wenn das Unionsrecht, einschließlich der europäischen Grundrechte (vgl. Art. 6 EUV in Verbindung mit der Charta der Grundrechte der Europäischen Union und der Europäischen Konvention der Menschenrechte und Grundfreiheiten), bislang ungeklärte Auslegungsfragen aufwirft. Eine Vorlage kann aus grundrechtlicher Sicht insbesondere dann erforderlich sein, wenn das Gericht Zweifel an der Übereinstimmung eines europäischen Rechtsakts oder einer Entscheidung des Europäischen Gerichtshofs mit den Grundrechten des Unionsrechts, die einen den Grundrechten des Grundgesetzes entsprechenden Grundrechtsschutz gewährleisten, hat oder haben muss.</w:t>
      </w:r>
    </w:p>
    <w:p w:rsidR="00CF3C20" w:rsidRPr="00CF3C20" w:rsidRDefault="00CF3C20" w:rsidP="00CF3C20">
      <w:pPr>
        <w:spacing w:after="0" w:line="240" w:lineRule="auto"/>
        <w:rPr>
          <w:rFonts w:ascii="Times New Roman" w:eastAsia="Times New Roman" w:hAnsi="Times New Roman" w:cs="Times New Roman"/>
          <w:sz w:val="24"/>
          <w:szCs w:val="24"/>
          <w:lang w:val="fr-BE" w:eastAsia="it-IT"/>
        </w:rPr>
      </w:pPr>
      <w:bookmarkStart w:id="99" w:name="abs92"/>
      <w:r w:rsidRPr="00CF3C20">
        <w:rPr>
          <w:rFonts w:ascii="Times New Roman" w:eastAsia="Times New Roman" w:hAnsi="Times New Roman" w:cs="Times New Roman"/>
          <w:sz w:val="24"/>
          <w:szCs w:val="24"/>
          <w:lang w:val="fr-BE" w:eastAsia="it-IT"/>
        </w:rPr>
        <w:t>92</w:t>
      </w:r>
      <w:bookmarkEnd w:id="99"/>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fr-BE" w:eastAsia="it-IT"/>
        </w:rPr>
        <w:t xml:space="preserve">3. Ein Verstoß des angegriffenen Urteils gegen die Eigentumsfreiheit der Beschwerdeführerin gemäß Art. 14 Abs. 1 GG lässt sich nach diesen Maßstäben nicht feststellen. Die Annahme des Bundesgerichtshofs, die Urheberrechtsrichtlinie in der Auslegung durch den Europäischen Gerichtshof lasse keinen Spielraum für die Einbeziehung der bloßen Gebrauchsüberlassung nachgeahmter Möbelstücke in den Schutz des Verbreitungsrechts nach § 17 Abs. 1 UrhG (a) und § 96 Abs. 1 UrhG (b), ist unter diesen Umständen von Verfassungs wegen nicht zu beanstanden. </w:t>
      </w:r>
      <w:r w:rsidRPr="00CF3C20">
        <w:rPr>
          <w:rFonts w:ascii="Times New Roman" w:eastAsia="Times New Roman" w:hAnsi="Times New Roman" w:cs="Times New Roman"/>
          <w:sz w:val="24"/>
          <w:szCs w:val="24"/>
          <w:lang w:val="en-US" w:eastAsia="it-IT"/>
        </w:rPr>
        <w:t>Bedeutung und Tragweite der Eigentumsgarantie des Art. 14 Abs. 1 GG sind damit nicht verkannt.</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100" w:name="abs93"/>
      <w:r w:rsidRPr="00CF3C20">
        <w:rPr>
          <w:rFonts w:ascii="Times New Roman" w:eastAsia="Times New Roman" w:hAnsi="Times New Roman" w:cs="Times New Roman"/>
          <w:sz w:val="24"/>
          <w:szCs w:val="24"/>
          <w:lang w:val="en-US" w:eastAsia="it-IT"/>
        </w:rPr>
        <w:t>93</w:t>
      </w:r>
      <w:bookmarkEnd w:id="100"/>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 xml:space="preserve">a) Zur Harmonisierung des Verbreitungsrechts durch die Urheberrechtsrichtlinie werden verschiedene Auffassungen vertreten (vgl. die Nachweise im angegriffenen Urteil, a.a.O., Rn. 13 f., sowie Goldmann/Möller, GRUR 2009, S. 551 &lt;554 f.&gt;; v. Lewinski, in: Hilty/Drexl/Nordemann, Festschrift für Loewenheim, 2009, S. 175 &lt; 180 ff.&gt;; Schulze, GRUR 2009, S. 812 &lt;813 f.&gt;; vgl. auch die Stellungnahme der GRUR im vorliegenden Verfahren, a.a.O.). Der Bundesgerichtshof verweist zutreffend darauf, dass § 17 UrhG richtlinienkonform auszulegen ist. Er durfte von Verfassungs wegen davon ausgehen, dass die Annahme einer bloßen Teilharmonisierung mit dem Harmonisierungszweck der Richtlinie, wie er insbesondere in den Erwägungsgründen 1, 4, 6, 7 niedergelegt ist, und der Warenverkehrsfreiheit des Unionsrechts unvereinbar wäre. Der Europäische Gerichtshof hat im Parallelverfahren etwaige Umsetzungsspielräume nicht erwähnt und Erweiterungen des Verbreitungsbegriffs ausdrücklich dem Unionsgesetzgeber vorbehalten (Urteil vom 17. April 2008, a.a.O., Rn. 37 ff.). Die Generalanwältin hatte sich für eine Auslegung im Sinne eines abschließenden Verbreitungsbegriffs zudem auf die Notwendigkeit des Schutzes der </w:t>
      </w:r>
      <w:r w:rsidRPr="00CF3C20">
        <w:rPr>
          <w:rFonts w:ascii="Times New Roman" w:eastAsia="Times New Roman" w:hAnsi="Times New Roman" w:cs="Times New Roman"/>
          <w:sz w:val="24"/>
          <w:szCs w:val="24"/>
          <w:lang w:val="en-US" w:eastAsia="it-IT"/>
        </w:rPr>
        <w:lastRenderedPageBreak/>
        <w:t>unionsrechtlichen Warenverkehrsfreiheit aus Art. 28 EG (jetzt Art. 34 AEUV) gestützt (Schlussanträge vom 17. Januar 2008, Slg. 2008, S. I-2731, Rn. 33 ff.). Der Bundesgerichtshof konnte demnach davon ausgehen, dass das Urteil des Europäischen Gerichtshofs ihm keinen Auslegungsspielraum lässt, um im Sinne einer verfassungskonformen Auslegung von § 17 UrhG den in der Richtlinie vorgesehenen Schutz des Verbreitungsrechts zu überschreiten. Damit hat der Bundesgerichtshof die Frage des Umsetzungsspielraums aufgeworfen und ohne Verfassungsverstoß unter Beachtung des Unionsrechts und der Rechtsprechung des Europäischen Gerichtshofs beantwortet.</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101" w:name="abs94"/>
      <w:r w:rsidRPr="00CF3C20">
        <w:rPr>
          <w:rFonts w:ascii="Times New Roman" w:eastAsia="Times New Roman" w:hAnsi="Times New Roman" w:cs="Times New Roman"/>
          <w:sz w:val="24"/>
          <w:szCs w:val="24"/>
          <w:lang w:val="en-US" w:eastAsia="it-IT"/>
        </w:rPr>
        <w:t>94</w:t>
      </w:r>
      <w:bookmarkEnd w:id="101"/>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b) Der Bundesgerichtshof konnte auch den Verbreitungsbegriff in § 96 UrhG mit § 17 UrhG übereinstimmend auslegen sowie davon ausgehen, dass er mittelbar ebenfalls von der Harmonisierung durch Art. 4 der Urheberrechtsrichtlinie erfasst wird und demnach kein Spielraum für eine verfassungskonforme Auslegung blieb. Dass sich die Verbreitungsbegriffe der §§ 17, 96 UrhG entsprechen, steht im Einklang mit der allgemeinen Meinung (vgl. nur Bullinger, in: Wandtke/Bullinger, Praxiskommentar zum Urheberrecht, 3. Aufl. 2009, § 96 Rn. 9).</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102" w:name="abs95"/>
      <w:r w:rsidRPr="00CF3C20">
        <w:rPr>
          <w:rFonts w:ascii="Times New Roman" w:eastAsia="Times New Roman" w:hAnsi="Times New Roman" w:cs="Times New Roman"/>
          <w:sz w:val="24"/>
          <w:szCs w:val="24"/>
          <w:lang w:val="en-US" w:eastAsia="it-IT"/>
        </w:rPr>
        <w:t>95</w:t>
      </w:r>
      <w:bookmarkEnd w:id="102"/>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Das angegriffene Urteil entzieht die Beschwerdeführerin nicht ihrem gesetzlichen Richter (Art. 101 Abs. 1 Satz 2 GG).</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103" w:name="abs96"/>
      <w:r w:rsidRPr="00CF3C20">
        <w:rPr>
          <w:rFonts w:ascii="Times New Roman" w:eastAsia="Times New Roman" w:hAnsi="Times New Roman" w:cs="Times New Roman"/>
          <w:sz w:val="24"/>
          <w:szCs w:val="24"/>
          <w:lang w:val="en-US" w:eastAsia="it-IT"/>
        </w:rPr>
        <w:t>96</w:t>
      </w:r>
      <w:bookmarkEnd w:id="103"/>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1. Der Europäische Gerichtshof ist gesetzlicher Richter im Sinne von Art. 101 Abs. 1 Satz 2 GG. Das nationale Gericht ist unter den Voraussetzungen des Art. 267 Abs. 3 AEUV von Amts wegen gehalten, den Europäischen Gerichtshof anzurufen (vgl. BVerfGE 82, 159 &lt; 192 f.&gt;).</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104" w:name="abs97"/>
      <w:r w:rsidRPr="00CF3C20">
        <w:rPr>
          <w:rFonts w:ascii="Times New Roman" w:eastAsia="Times New Roman" w:hAnsi="Times New Roman" w:cs="Times New Roman"/>
          <w:sz w:val="24"/>
          <w:szCs w:val="24"/>
          <w:lang w:val="en-US" w:eastAsia="it-IT"/>
        </w:rPr>
        <w:t>97</w:t>
      </w:r>
      <w:bookmarkEnd w:id="104"/>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Nach der Rechtsprechung des Europäischen Gerichtshofs muss ein nationales letztinstanzliches Gericht seiner Vorlagepflicht nachkommen, wenn sich in einem bei ihm schwebenden Verfahren eine Frage des Gemeinschaftsrechts stellt, es sei denn, das Gericht hat festgestellt, „dass die gestellte Frage nicht entscheidungserheblich ist, dass die betreffende gemeinschaftsrechtliche Frage bereits Gegenstand einer Auslegung durch den Europäischen Gerichtshof war oder dass die richtige Anwendung des Gemeinschaftsrechts derart offenkundig ist, dass für einen vernünftigen Zweifel keinerlei Raum bleibt“ (EuGH, Urteil vom 6. Oktober 1982, a.a.O., Rn. 21). Die Entscheidungserheblichkeit der europarechtlichen Frage für den Ausgangsrechtsstreit hingegen beurteilt allein das nationale Gericht (vgl. EuGH, Urteil vom 6. Oktober 1982, a.a.O., Rn. 10; Urteil vom 27. Juni 1991 - C-348/89 Mecanarte -, Slg. 1991, S. I-3277, Rn. 47; BVerfGE 82, 159 &lt;194&gt;).</w:t>
      </w:r>
    </w:p>
    <w:p w:rsidR="00CF3C20" w:rsidRPr="00CF3C20" w:rsidRDefault="00CF3C20" w:rsidP="00CF3C20">
      <w:pPr>
        <w:spacing w:after="0" w:line="240" w:lineRule="auto"/>
        <w:rPr>
          <w:rFonts w:ascii="Times New Roman" w:eastAsia="Times New Roman" w:hAnsi="Times New Roman" w:cs="Times New Roman"/>
          <w:sz w:val="24"/>
          <w:szCs w:val="24"/>
          <w:lang w:val="en-US" w:eastAsia="it-IT"/>
        </w:rPr>
      </w:pPr>
      <w:bookmarkStart w:id="105" w:name="abs98"/>
      <w:r w:rsidRPr="00CF3C20">
        <w:rPr>
          <w:rFonts w:ascii="Times New Roman" w:eastAsia="Times New Roman" w:hAnsi="Times New Roman" w:cs="Times New Roman"/>
          <w:sz w:val="24"/>
          <w:szCs w:val="24"/>
          <w:lang w:val="en-US" w:eastAsia="it-IT"/>
        </w:rPr>
        <w:t>98</w:t>
      </w:r>
      <w:bookmarkEnd w:id="105"/>
    </w:p>
    <w:p w:rsidR="00CF3C20" w:rsidRPr="00CF3C20"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CF3C20">
        <w:rPr>
          <w:rFonts w:ascii="Times New Roman" w:eastAsia="Times New Roman" w:hAnsi="Times New Roman" w:cs="Times New Roman"/>
          <w:sz w:val="24"/>
          <w:szCs w:val="24"/>
          <w:lang w:val="en-US" w:eastAsia="it-IT"/>
        </w:rPr>
        <w:t xml:space="preserve">Das Bundesverfassungsgericht überprüft allerdings nur, ob die Auslegung und Anwendung der Zuständigkeitsregel des Art. 267 Abs. 3 AEUV bei verständiger Würdigung der das Grundgesetz bestimmenden Gedanken nicht mehr verständlich erscheint und offensichtlich unhaltbar ist (vgl. BVerfGE 82, 159 &lt;194 ff.&gt;; 126, 286 &lt; 315 ff.&gt;). Die Vorlagepflicht wird insbesondere in den Fällen offensichtlich unhaltbar gehandhabt, in denen ein letztinstanzliches Hauptsachegericht eine Vorlage trotz der - seiner Auffassung nach bestehenden - Entscheidungserheblichkeit der unionsrechtlichen Frage überhaupt nicht in Erwägung zieht, obwohl es selbst Zweifel hinsichtlich </w:t>
      </w:r>
      <w:r w:rsidRPr="00CF3C20">
        <w:rPr>
          <w:rFonts w:ascii="Times New Roman" w:eastAsia="Times New Roman" w:hAnsi="Times New Roman" w:cs="Times New Roman"/>
          <w:sz w:val="24"/>
          <w:szCs w:val="24"/>
          <w:lang w:val="en-US" w:eastAsia="it-IT"/>
        </w:rPr>
        <w:lastRenderedPageBreak/>
        <w:t>der richtigen Beantwortung der Frage hegt (grundsätzliche Verkennung der Vorlagepflicht), oder in denen das letztinstanzliche Hauptsachegericht in seiner Entscheidung bewusst von der Rechtsprechung des Europäischen Gerichtshofs zu entscheidungserheblichen Fragen abweicht und gleichwohl nicht oder nicht neuerlich vorlegt (bewusstes Abweichen ohne Vorlagebereitschaft). Liegt zu einer entscheidungserheblichen Frage des Gemeinschaftsrechts einschlägige Rechtsprechung des Gerichtshofs noch nicht vor oder hat eine vorliegende Rechtsprechung die entscheidungserhebliche Frage möglicherweise noch nicht erschöpfend beantwortet oder erscheint eine Fortentwicklung der Rechtsprechung des Gerichtshofs nicht nur als entfernte Möglichkeit, so wird Art. 101 Abs. 1 Satz 2 GG nur dann verletzt, wenn das letztinstanzliche Hauptsachegericht den ihm in solchen Fällen notwendig zukommenden Beurteilungsrahmen in unvertretbarer Weise überschritten hat (Unvollständigkeit der Rechtsprechung; vgl. BVerfGE 82, 159 &lt;195 f.&gt;; 126, 286 &lt; 316 f.&gt;). Dabei kommt es für die Prüfung einer Verletzung von Art. 101 Abs. 1 Satz 2 GG nicht in erster Linie auf die Vertretbarkeit der fachgerichtlichen Auslegung des für den Streitfall maßgeblichen materiellen Unionsrechts an, sondern auf die Vertretbarkeit der Handhabung der Vorlagepflicht nach Art. 267 Abs. 3 AEUV (vgl. BVerfG, Beschluss des Ersten Senats vom 25. Januar 2011 - 1 BvR 1741/09 -, NJW 2011, S. 1427, Rn. 104 f.; der Sache nach ebenso gehandhabt in BVerfGE 126, 286 &lt;317 f.&gt;).</w:t>
      </w:r>
    </w:p>
    <w:p w:rsidR="00CF3C20" w:rsidRPr="000414E3" w:rsidRDefault="00CF3C20" w:rsidP="00CF3C20">
      <w:pPr>
        <w:spacing w:after="0" w:line="240" w:lineRule="auto"/>
        <w:rPr>
          <w:rFonts w:ascii="Times New Roman" w:eastAsia="Times New Roman" w:hAnsi="Times New Roman" w:cs="Times New Roman"/>
          <w:sz w:val="24"/>
          <w:szCs w:val="24"/>
          <w:lang w:val="en-US" w:eastAsia="it-IT"/>
        </w:rPr>
      </w:pPr>
      <w:bookmarkStart w:id="106" w:name="abs99"/>
      <w:r w:rsidRPr="000414E3">
        <w:rPr>
          <w:rFonts w:ascii="Times New Roman" w:eastAsia="Times New Roman" w:hAnsi="Times New Roman" w:cs="Times New Roman"/>
          <w:sz w:val="24"/>
          <w:szCs w:val="24"/>
          <w:lang w:val="en-US" w:eastAsia="it-IT"/>
        </w:rPr>
        <w:t>99</w:t>
      </w:r>
      <w:bookmarkEnd w:id="106"/>
    </w:p>
    <w:p w:rsidR="00CF3C20" w:rsidRPr="000414E3"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0414E3">
        <w:rPr>
          <w:rFonts w:ascii="Times New Roman" w:eastAsia="Times New Roman" w:hAnsi="Times New Roman" w:cs="Times New Roman"/>
          <w:sz w:val="24"/>
          <w:szCs w:val="24"/>
          <w:lang w:val="en-US" w:eastAsia="it-IT"/>
        </w:rPr>
        <w:t>2. Nach diesen Maßstäben liegt keine unhaltbare Handhabung der Vorlagepflicht vor.</w:t>
      </w:r>
    </w:p>
    <w:p w:rsidR="00CF3C20" w:rsidRPr="000414E3" w:rsidRDefault="00CF3C20" w:rsidP="00CF3C20">
      <w:pPr>
        <w:spacing w:after="0" w:line="240" w:lineRule="auto"/>
        <w:rPr>
          <w:rFonts w:ascii="Times New Roman" w:eastAsia="Times New Roman" w:hAnsi="Times New Roman" w:cs="Times New Roman"/>
          <w:sz w:val="24"/>
          <w:szCs w:val="24"/>
          <w:lang w:val="en-US" w:eastAsia="it-IT"/>
        </w:rPr>
      </w:pPr>
      <w:bookmarkStart w:id="107" w:name="abs100"/>
      <w:r w:rsidRPr="000414E3">
        <w:rPr>
          <w:rFonts w:ascii="Times New Roman" w:eastAsia="Times New Roman" w:hAnsi="Times New Roman" w:cs="Times New Roman"/>
          <w:sz w:val="24"/>
          <w:szCs w:val="24"/>
          <w:lang w:val="en-US" w:eastAsia="it-IT"/>
        </w:rPr>
        <w:t>100</w:t>
      </w:r>
      <w:bookmarkEnd w:id="107"/>
    </w:p>
    <w:p w:rsidR="00CF3C20" w:rsidRPr="000414E3" w:rsidRDefault="00CF3C20" w:rsidP="00CF3C20">
      <w:pPr>
        <w:spacing w:before="100" w:beforeAutospacing="1" w:after="100" w:afterAutospacing="1" w:line="240" w:lineRule="auto"/>
        <w:rPr>
          <w:rFonts w:ascii="Times New Roman" w:eastAsia="Times New Roman" w:hAnsi="Times New Roman" w:cs="Times New Roman"/>
          <w:sz w:val="24"/>
          <w:szCs w:val="24"/>
          <w:lang w:val="en-US" w:eastAsia="it-IT"/>
        </w:rPr>
      </w:pPr>
      <w:r w:rsidRPr="000414E3">
        <w:rPr>
          <w:rFonts w:ascii="Times New Roman" w:eastAsia="Times New Roman" w:hAnsi="Times New Roman" w:cs="Times New Roman"/>
          <w:sz w:val="24"/>
          <w:szCs w:val="24"/>
          <w:lang w:val="en-US" w:eastAsia="it-IT"/>
        </w:rPr>
        <w:t>Indem der Bundesgerichtshof die von ihm für entscheidungserheblich gehaltenen Fragen im Parallelverfahren dem Europäischen Gerichtshof vorgelegt hat, hat er Art. 267 Abs. 3 AEUV auch im Streitfall nicht grundsätzlich verkannt. Auch wenn das Unionsrecht die Vorlage einer gleichen oder ähnlichen Auslegungsfrage erlaubt (vgl. EuGH, Urteil vom 11. Juni 1986 - C-14/86 Pretore di Salò -, Slg. 1987, S. 2545, Rn. 12; stRspr), musste der Bundesgerichtshof aus verfassungsrechtlicher Sicht die Sache nicht erneut dem Europäischen Gerichtshof vorlegen, wenn nach seiner Einschätzung die Antwort des Gerichtshofs keinen Raum für „vernünftigen Zweifel“ (EuGH, Urteil vom 6. Oktober 1982, a.a.O., Rn. 21) ließ. Dem angegriffenen Urteil ist die vertretbare Überzeugung des Bundesgerichtshofs zu entnehmen, dass Art. 4 Abs. 1 der Urheberrechtsrichtlinie eine vollharmonisierte Regelung des Verbreitungsrechts darstellt und der Europäische Gerichtshof die Auslegung des Verbreitungsbegriffs der Richtlinie abschließend und umfassend geklärt hat.</w:t>
      </w:r>
    </w:p>
    <w:tbl>
      <w:tblPr>
        <w:tblW w:w="4000" w:type="pct"/>
        <w:jc w:val="center"/>
        <w:tblCellSpacing w:w="15" w:type="dxa"/>
        <w:tblCellMar>
          <w:top w:w="15" w:type="dxa"/>
          <w:left w:w="15" w:type="dxa"/>
          <w:bottom w:w="15" w:type="dxa"/>
          <w:right w:w="15" w:type="dxa"/>
        </w:tblCellMar>
        <w:tblLook w:val="04A0"/>
      </w:tblPr>
      <w:tblGrid>
        <w:gridCol w:w="2599"/>
        <w:gridCol w:w="2584"/>
        <w:gridCol w:w="2599"/>
      </w:tblGrid>
      <w:tr w:rsidR="00CF3C20" w:rsidRPr="00CF3C20" w:rsidTr="00CF3C20">
        <w:trPr>
          <w:tblCellSpacing w:w="15" w:type="dxa"/>
          <w:jc w:val="center"/>
        </w:trPr>
        <w:tc>
          <w:tcPr>
            <w:tcW w:w="1650" w:type="pct"/>
            <w:vAlign w:val="center"/>
            <w:hideMark/>
          </w:tcPr>
          <w:p w:rsidR="00CF3C20" w:rsidRPr="00CF3C20" w:rsidRDefault="00CF3C20" w:rsidP="00CF3C20">
            <w:pPr>
              <w:spacing w:after="0" w:line="240" w:lineRule="auto"/>
              <w:rPr>
                <w:rFonts w:ascii="Times New Roman" w:eastAsia="Times New Roman" w:hAnsi="Times New Roman" w:cs="Times New Roman"/>
                <w:sz w:val="24"/>
                <w:szCs w:val="24"/>
                <w:lang w:eastAsia="it-IT"/>
              </w:rPr>
            </w:pPr>
            <w:bookmarkStart w:id="108" w:name="st"/>
            <w:bookmarkEnd w:id="108"/>
            <w:r w:rsidRPr="00CF3C20">
              <w:rPr>
                <w:rFonts w:ascii="Times New Roman" w:eastAsia="Times New Roman" w:hAnsi="Times New Roman" w:cs="Times New Roman"/>
                <w:sz w:val="24"/>
                <w:szCs w:val="24"/>
                <w:lang w:eastAsia="it-IT"/>
              </w:rPr>
              <w:t>Kirchhof</w:t>
            </w:r>
          </w:p>
        </w:tc>
        <w:tc>
          <w:tcPr>
            <w:tcW w:w="1650" w:type="pct"/>
            <w:vAlign w:val="center"/>
            <w:hideMark/>
          </w:tcPr>
          <w:p w:rsidR="00CF3C20" w:rsidRPr="00CF3C20" w:rsidRDefault="00CF3C20" w:rsidP="00CF3C20">
            <w:pPr>
              <w:spacing w:after="0" w:line="240" w:lineRule="auto"/>
              <w:rPr>
                <w:rFonts w:ascii="Times New Roman" w:eastAsia="Times New Roman" w:hAnsi="Times New Roman" w:cs="Times New Roman"/>
                <w:sz w:val="24"/>
                <w:szCs w:val="24"/>
                <w:lang w:eastAsia="it-IT"/>
              </w:rPr>
            </w:pPr>
            <w:r w:rsidRPr="00CF3C20">
              <w:rPr>
                <w:rFonts w:ascii="Times New Roman" w:eastAsia="Times New Roman" w:hAnsi="Times New Roman" w:cs="Times New Roman"/>
                <w:sz w:val="24"/>
                <w:szCs w:val="24"/>
                <w:lang w:eastAsia="it-IT"/>
              </w:rPr>
              <w:t>Gaier</w:t>
            </w:r>
          </w:p>
        </w:tc>
        <w:tc>
          <w:tcPr>
            <w:tcW w:w="1650" w:type="pct"/>
            <w:vAlign w:val="center"/>
            <w:hideMark/>
          </w:tcPr>
          <w:p w:rsidR="00CF3C20" w:rsidRPr="00CF3C20" w:rsidRDefault="00CF3C20" w:rsidP="00CF3C20">
            <w:pPr>
              <w:spacing w:after="0" w:line="240" w:lineRule="auto"/>
              <w:rPr>
                <w:rFonts w:ascii="Times New Roman" w:eastAsia="Times New Roman" w:hAnsi="Times New Roman" w:cs="Times New Roman"/>
                <w:sz w:val="24"/>
                <w:szCs w:val="24"/>
                <w:lang w:eastAsia="it-IT"/>
              </w:rPr>
            </w:pPr>
            <w:r w:rsidRPr="00CF3C20">
              <w:rPr>
                <w:rFonts w:ascii="Times New Roman" w:eastAsia="Times New Roman" w:hAnsi="Times New Roman" w:cs="Times New Roman"/>
                <w:sz w:val="24"/>
                <w:szCs w:val="24"/>
                <w:lang w:eastAsia="it-IT"/>
              </w:rPr>
              <w:t>Eichberger</w:t>
            </w:r>
          </w:p>
        </w:tc>
      </w:tr>
      <w:tr w:rsidR="00CF3C20" w:rsidRPr="00CF3C20" w:rsidTr="00CF3C20">
        <w:trPr>
          <w:tblCellSpacing w:w="15" w:type="dxa"/>
          <w:jc w:val="center"/>
        </w:trPr>
        <w:tc>
          <w:tcPr>
            <w:tcW w:w="1650" w:type="pct"/>
            <w:vAlign w:val="center"/>
            <w:hideMark/>
          </w:tcPr>
          <w:p w:rsidR="00CF3C20" w:rsidRPr="00CF3C20" w:rsidRDefault="00CF3C20" w:rsidP="00CF3C20">
            <w:pPr>
              <w:spacing w:after="0" w:line="240" w:lineRule="auto"/>
              <w:rPr>
                <w:rFonts w:ascii="Times New Roman" w:eastAsia="Times New Roman" w:hAnsi="Times New Roman" w:cs="Times New Roman"/>
                <w:sz w:val="24"/>
                <w:szCs w:val="24"/>
                <w:lang w:eastAsia="it-IT"/>
              </w:rPr>
            </w:pPr>
            <w:r w:rsidRPr="00CF3C20">
              <w:rPr>
                <w:rFonts w:ascii="Times New Roman" w:eastAsia="Times New Roman" w:hAnsi="Times New Roman" w:cs="Times New Roman"/>
                <w:sz w:val="24"/>
                <w:szCs w:val="24"/>
                <w:lang w:eastAsia="it-IT"/>
              </w:rPr>
              <w:t>Schluckebier</w:t>
            </w:r>
          </w:p>
        </w:tc>
        <w:tc>
          <w:tcPr>
            <w:tcW w:w="1650" w:type="pct"/>
            <w:vAlign w:val="center"/>
            <w:hideMark/>
          </w:tcPr>
          <w:p w:rsidR="00CF3C20" w:rsidRPr="00CF3C20" w:rsidRDefault="00CF3C20" w:rsidP="00CF3C20">
            <w:pPr>
              <w:spacing w:after="0" w:line="240" w:lineRule="auto"/>
              <w:rPr>
                <w:rFonts w:ascii="Times New Roman" w:eastAsia="Times New Roman" w:hAnsi="Times New Roman" w:cs="Times New Roman"/>
                <w:sz w:val="24"/>
                <w:szCs w:val="24"/>
                <w:lang w:eastAsia="it-IT"/>
              </w:rPr>
            </w:pPr>
            <w:r w:rsidRPr="00CF3C20">
              <w:rPr>
                <w:rFonts w:ascii="Times New Roman" w:eastAsia="Times New Roman" w:hAnsi="Times New Roman" w:cs="Times New Roman"/>
                <w:sz w:val="24"/>
                <w:szCs w:val="24"/>
                <w:lang w:eastAsia="it-IT"/>
              </w:rPr>
              <w:t>Masing</w:t>
            </w:r>
          </w:p>
        </w:tc>
        <w:tc>
          <w:tcPr>
            <w:tcW w:w="1650" w:type="pct"/>
            <w:vAlign w:val="center"/>
            <w:hideMark/>
          </w:tcPr>
          <w:p w:rsidR="00CF3C20" w:rsidRPr="00CF3C20" w:rsidRDefault="00CF3C20" w:rsidP="00CF3C20">
            <w:pPr>
              <w:spacing w:after="0" w:line="240" w:lineRule="auto"/>
              <w:rPr>
                <w:rFonts w:ascii="Times New Roman" w:eastAsia="Times New Roman" w:hAnsi="Times New Roman" w:cs="Times New Roman"/>
                <w:sz w:val="24"/>
                <w:szCs w:val="24"/>
                <w:lang w:eastAsia="it-IT"/>
              </w:rPr>
            </w:pPr>
            <w:r w:rsidRPr="00CF3C20">
              <w:rPr>
                <w:rFonts w:ascii="Times New Roman" w:eastAsia="Times New Roman" w:hAnsi="Times New Roman" w:cs="Times New Roman"/>
                <w:sz w:val="24"/>
                <w:szCs w:val="24"/>
                <w:lang w:eastAsia="it-IT"/>
              </w:rPr>
              <w:t>Paulus</w:t>
            </w:r>
          </w:p>
        </w:tc>
      </w:tr>
      <w:tr w:rsidR="00CF3C20" w:rsidRPr="00CF3C20" w:rsidTr="00CF3C20">
        <w:trPr>
          <w:tblCellSpacing w:w="15" w:type="dxa"/>
          <w:jc w:val="center"/>
        </w:trPr>
        <w:tc>
          <w:tcPr>
            <w:tcW w:w="1650" w:type="pct"/>
            <w:vAlign w:val="center"/>
            <w:hideMark/>
          </w:tcPr>
          <w:p w:rsidR="00CF3C20" w:rsidRPr="00CF3C20" w:rsidRDefault="00CF3C20" w:rsidP="00CF3C20">
            <w:pPr>
              <w:spacing w:after="0" w:line="240" w:lineRule="auto"/>
              <w:rPr>
                <w:rFonts w:ascii="Times New Roman" w:eastAsia="Times New Roman" w:hAnsi="Times New Roman" w:cs="Times New Roman"/>
                <w:sz w:val="24"/>
                <w:szCs w:val="24"/>
                <w:lang w:eastAsia="it-IT"/>
              </w:rPr>
            </w:pPr>
            <w:r w:rsidRPr="00CF3C20">
              <w:rPr>
                <w:rFonts w:ascii="Times New Roman" w:eastAsia="Times New Roman" w:hAnsi="Times New Roman" w:cs="Times New Roman"/>
                <w:sz w:val="24"/>
                <w:szCs w:val="24"/>
                <w:lang w:eastAsia="it-IT"/>
              </w:rPr>
              <w:t>Baer</w:t>
            </w:r>
          </w:p>
        </w:tc>
        <w:tc>
          <w:tcPr>
            <w:tcW w:w="0" w:type="auto"/>
            <w:vAlign w:val="center"/>
            <w:hideMark/>
          </w:tcPr>
          <w:p w:rsidR="00CF3C20" w:rsidRPr="00CF3C20" w:rsidRDefault="00CF3C20" w:rsidP="00CF3C20">
            <w:pPr>
              <w:spacing w:after="0" w:line="240" w:lineRule="auto"/>
              <w:rPr>
                <w:rFonts w:ascii="Times New Roman" w:eastAsia="Times New Roman" w:hAnsi="Times New Roman" w:cs="Times New Roman"/>
                <w:sz w:val="24"/>
                <w:szCs w:val="24"/>
                <w:lang w:eastAsia="it-IT"/>
              </w:rPr>
            </w:pPr>
          </w:p>
        </w:tc>
        <w:tc>
          <w:tcPr>
            <w:tcW w:w="1650" w:type="pct"/>
            <w:vAlign w:val="center"/>
            <w:hideMark/>
          </w:tcPr>
          <w:p w:rsidR="00CF3C20" w:rsidRPr="00CF3C20" w:rsidRDefault="00CF3C20" w:rsidP="00CF3C20">
            <w:pPr>
              <w:spacing w:after="0" w:line="240" w:lineRule="auto"/>
              <w:rPr>
                <w:rFonts w:ascii="Times New Roman" w:eastAsia="Times New Roman" w:hAnsi="Times New Roman" w:cs="Times New Roman"/>
                <w:sz w:val="24"/>
                <w:szCs w:val="24"/>
                <w:lang w:eastAsia="it-IT"/>
              </w:rPr>
            </w:pPr>
            <w:r w:rsidRPr="00CF3C20">
              <w:rPr>
                <w:rFonts w:ascii="Times New Roman" w:eastAsia="Times New Roman" w:hAnsi="Times New Roman" w:cs="Times New Roman"/>
                <w:sz w:val="24"/>
                <w:szCs w:val="24"/>
                <w:lang w:eastAsia="it-IT"/>
              </w:rPr>
              <w:t>Britz</w:t>
            </w:r>
          </w:p>
        </w:tc>
      </w:tr>
    </w:tbl>
    <w:p w:rsidR="00B6347E" w:rsidRDefault="00B6347E"/>
    <w:sectPr w:rsidR="00B6347E" w:rsidSect="00B6347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B207D"/>
    <w:multiLevelType w:val="multilevel"/>
    <w:tmpl w:val="9BFC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12237"/>
    <w:multiLevelType w:val="multilevel"/>
    <w:tmpl w:val="7BD06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CF3C20"/>
    <w:rsid w:val="000414E3"/>
    <w:rsid w:val="00B6347E"/>
    <w:rsid w:val="00CF3C20"/>
    <w:rsid w:val="00E075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347E"/>
  </w:style>
  <w:style w:type="paragraph" w:styleId="Titolo1">
    <w:name w:val="heading 1"/>
    <w:basedOn w:val="Normale"/>
    <w:link w:val="Titolo1Carattere"/>
    <w:uiPriority w:val="9"/>
    <w:qFormat/>
    <w:rsid w:val="00CF3C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CF3C20"/>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CF3C20"/>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CF3C20"/>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5">
    <w:name w:val="heading 5"/>
    <w:basedOn w:val="Normale"/>
    <w:link w:val="Titolo5Carattere"/>
    <w:uiPriority w:val="9"/>
    <w:qFormat/>
    <w:rsid w:val="00CF3C20"/>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F3C20"/>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CF3C20"/>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CF3C20"/>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CF3C20"/>
    <w:rPr>
      <w:rFonts w:ascii="Times New Roman" w:eastAsia="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
    <w:rsid w:val="00CF3C20"/>
    <w:rPr>
      <w:rFonts w:ascii="Times New Roman" w:eastAsia="Times New Roman" w:hAnsi="Times New Roman" w:cs="Times New Roman"/>
      <w:b/>
      <w:bCs/>
      <w:sz w:val="20"/>
      <w:szCs w:val="20"/>
      <w:lang w:eastAsia="it-IT"/>
    </w:rPr>
  </w:style>
  <w:style w:type="character" w:styleId="Collegamentoipertestuale">
    <w:name w:val="Hyperlink"/>
    <w:basedOn w:val="Carpredefinitoparagrafo"/>
    <w:uiPriority w:val="99"/>
    <w:semiHidden/>
    <w:unhideWhenUsed/>
    <w:rsid w:val="00CF3C20"/>
    <w:rPr>
      <w:color w:val="0000FF"/>
      <w:u w:val="single"/>
    </w:rPr>
  </w:style>
  <w:style w:type="paragraph" w:styleId="NormaleWeb">
    <w:name w:val="Normal (Web)"/>
    <w:basedOn w:val="Normale"/>
    <w:uiPriority w:val="99"/>
    <w:semiHidden/>
    <w:unhideWhenUsed/>
    <w:rsid w:val="00CF3C2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yiv421812800in">
    <w:name w:val="yiv421812800in"/>
    <w:basedOn w:val="Carpredefinitoparagrafo"/>
    <w:rsid w:val="00CF3C20"/>
  </w:style>
  <w:style w:type="paragraph" w:customStyle="1" w:styleId="yiv421812800urh">
    <w:name w:val="yiv421812800urh"/>
    <w:basedOn w:val="Normale"/>
    <w:rsid w:val="00CF3C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yiv421812800zitierung">
    <w:name w:val="yiv421812800zitierung"/>
    <w:basedOn w:val="Normale"/>
    <w:rsid w:val="00CF3C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yiv421812800lszb">
    <w:name w:val="yiv421812800lszb"/>
    <w:basedOn w:val="Normale"/>
    <w:rsid w:val="00CF3C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yiv421812800lsz">
    <w:name w:val="yiv421812800lsz"/>
    <w:basedOn w:val="Normale"/>
    <w:rsid w:val="00CF3C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yiv421812800az1">
    <w:name w:val="yiv421812800az1"/>
    <w:basedOn w:val="Normale"/>
    <w:rsid w:val="00CF3C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yiv421812800az2">
    <w:name w:val="yiv421812800az2"/>
    <w:basedOn w:val="Normale"/>
    <w:rsid w:val="00CF3C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yiv421812800vb">
    <w:name w:val="yiv421812800vb"/>
    <w:basedOn w:val="Normale"/>
    <w:rsid w:val="00CF3C2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yiv421812800nobr">
    <w:name w:val="yiv421812800nobr"/>
    <w:basedOn w:val="Carpredefinitoparagrafo"/>
    <w:rsid w:val="00CF3C20"/>
  </w:style>
  <w:style w:type="paragraph" w:customStyle="1" w:styleId="yiv421812800rr1">
    <w:name w:val="yiv421812800rr1"/>
    <w:basedOn w:val="Normale"/>
    <w:rsid w:val="00CF3C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yiv421812800rr2">
    <w:name w:val="yiv421812800rr2"/>
    <w:basedOn w:val="Normale"/>
    <w:rsid w:val="00CF3C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yiv421812800bf">
    <w:name w:val="yiv421812800bf"/>
    <w:basedOn w:val="Normale"/>
    <w:rsid w:val="00CF3C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yiv421812800bs">
    <w:name w:val="yiv421812800bs"/>
    <w:basedOn w:val="Normale"/>
    <w:rsid w:val="00CF3C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yiv421812800std">
    <w:name w:val="yiv421812800std"/>
    <w:basedOn w:val="Normale"/>
    <w:rsid w:val="00CF3C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yiv421812800etz">
    <w:name w:val="yiv421812800etz"/>
    <w:basedOn w:val="Normale"/>
    <w:rsid w:val="00CF3C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yiv421812800et">
    <w:name w:val="yiv421812800et"/>
    <w:basedOn w:val="Normale"/>
    <w:rsid w:val="00CF3C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CF3C2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3C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427387">
      <w:bodyDiv w:val="1"/>
      <w:marLeft w:val="0"/>
      <w:marRight w:val="0"/>
      <w:marTop w:val="0"/>
      <w:marBottom w:val="0"/>
      <w:divBdr>
        <w:top w:val="none" w:sz="0" w:space="0" w:color="auto"/>
        <w:left w:val="none" w:sz="0" w:space="0" w:color="auto"/>
        <w:bottom w:val="none" w:sz="0" w:space="0" w:color="auto"/>
        <w:right w:val="none" w:sz="0" w:space="0" w:color="auto"/>
      </w:divBdr>
      <w:divsChild>
        <w:div w:id="395709428">
          <w:marLeft w:val="0"/>
          <w:marRight w:val="0"/>
          <w:marTop w:val="0"/>
          <w:marBottom w:val="0"/>
          <w:divBdr>
            <w:top w:val="none" w:sz="0" w:space="0" w:color="auto"/>
            <w:left w:val="none" w:sz="0" w:space="0" w:color="auto"/>
            <w:bottom w:val="none" w:sz="0" w:space="0" w:color="auto"/>
            <w:right w:val="none" w:sz="0" w:space="0" w:color="auto"/>
          </w:divBdr>
          <w:divsChild>
            <w:div w:id="225916392">
              <w:marLeft w:val="0"/>
              <w:marRight w:val="0"/>
              <w:marTop w:val="0"/>
              <w:marBottom w:val="0"/>
              <w:divBdr>
                <w:top w:val="none" w:sz="0" w:space="0" w:color="auto"/>
                <w:left w:val="none" w:sz="0" w:space="0" w:color="auto"/>
                <w:bottom w:val="none" w:sz="0" w:space="0" w:color="auto"/>
                <w:right w:val="none" w:sz="0" w:space="0" w:color="auto"/>
              </w:divBdr>
              <w:divsChild>
                <w:div w:id="832180996">
                  <w:marLeft w:val="0"/>
                  <w:marRight w:val="0"/>
                  <w:marTop w:val="0"/>
                  <w:marBottom w:val="0"/>
                  <w:divBdr>
                    <w:top w:val="none" w:sz="0" w:space="0" w:color="auto"/>
                    <w:left w:val="none" w:sz="0" w:space="0" w:color="auto"/>
                    <w:bottom w:val="none" w:sz="0" w:space="0" w:color="auto"/>
                    <w:right w:val="none" w:sz="0" w:space="0" w:color="auto"/>
                  </w:divBdr>
                  <w:divsChild>
                    <w:div w:id="892929132">
                      <w:marLeft w:val="0"/>
                      <w:marRight w:val="0"/>
                      <w:marTop w:val="0"/>
                      <w:marBottom w:val="0"/>
                      <w:divBdr>
                        <w:top w:val="none" w:sz="0" w:space="0" w:color="auto"/>
                        <w:left w:val="none" w:sz="0" w:space="0" w:color="auto"/>
                        <w:bottom w:val="none" w:sz="0" w:space="0" w:color="auto"/>
                        <w:right w:val="none" w:sz="0" w:space="0" w:color="auto"/>
                      </w:divBdr>
                      <w:divsChild>
                        <w:div w:id="444738521">
                          <w:marLeft w:val="0"/>
                          <w:marRight w:val="0"/>
                          <w:marTop w:val="0"/>
                          <w:marBottom w:val="0"/>
                          <w:divBdr>
                            <w:top w:val="none" w:sz="0" w:space="0" w:color="auto"/>
                            <w:left w:val="none" w:sz="0" w:space="0" w:color="auto"/>
                            <w:bottom w:val="none" w:sz="0" w:space="0" w:color="auto"/>
                            <w:right w:val="none" w:sz="0" w:space="0" w:color="auto"/>
                          </w:divBdr>
                          <w:divsChild>
                            <w:div w:id="1423184594">
                              <w:marLeft w:val="435"/>
                              <w:marRight w:val="0"/>
                              <w:marTop w:val="150"/>
                              <w:marBottom w:val="0"/>
                              <w:divBdr>
                                <w:top w:val="none" w:sz="0" w:space="0" w:color="auto"/>
                                <w:left w:val="none" w:sz="0" w:space="0" w:color="auto"/>
                                <w:bottom w:val="none" w:sz="0" w:space="0" w:color="auto"/>
                                <w:right w:val="none" w:sz="0" w:space="0" w:color="auto"/>
                              </w:divBdr>
                            </w:div>
                          </w:divsChild>
                        </w:div>
                        <w:div w:id="1125195833">
                          <w:marLeft w:val="0"/>
                          <w:marRight w:val="0"/>
                          <w:marTop w:val="0"/>
                          <w:marBottom w:val="0"/>
                          <w:divBdr>
                            <w:top w:val="none" w:sz="0" w:space="0" w:color="auto"/>
                            <w:left w:val="none" w:sz="0" w:space="0" w:color="auto"/>
                            <w:bottom w:val="none" w:sz="0" w:space="0" w:color="auto"/>
                            <w:right w:val="none" w:sz="0" w:space="0" w:color="auto"/>
                          </w:divBdr>
                        </w:div>
                        <w:div w:id="739206152">
                          <w:marLeft w:val="0"/>
                          <w:marRight w:val="0"/>
                          <w:marTop w:val="0"/>
                          <w:marBottom w:val="0"/>
                          <w:divBdr>
                            <w:top w:val="none" w:sz="0" w:space="0" w:color="auto"/>
                            <w:left w:val="none" w:sz="0" w:space="0" w:color="auto"/>
                            <w:bottom w:val="none" w:sz="0" w:space="0" w:color="auto"/>
                            <w:right w:val="none" w:sz="0" w:space="0" w:color="auto"/>
                          </w:divBdr>
                          <w:divsChild>
                            <w:div w:id="1514490663">
                              <w:marLeft w:val="0"/>
                              <w:marRight w:val="0"/>
                              <w:marTop w:val="0"/>
                              <w:marBottom w:val="0"/>
                              <w:divBdr>
                                <w:top w:val="none" w:sz="0" w:space="0" w:color="auto"/>
                                <w:left w:val="none" w:sz="0" w:space="0" w:color="auto"/>
                                <w:bottom w:val="none" w:sz="0" w:space="0" w:color="auto"/>
                                <w:right w:val="none" w:sz="0" w:space="0" w:color="auto"/>
                              </w:divBdr>
                              <w:divsChild>
                                <w:div w:id="511801315">
                                  <w:marLeft w:val="0"/>
                                  <w:marRight w:val="0"/>
                                  <w:marTop w:val="0"/>
                                  <w:marBottom w:val="0"/>
                                  <w:divBdr>
                                    <w:top w:val="none" w:sz="0" w:space="0" w:color="auto"/>
                                    <w:left w:val="none" w:sz="0" w:space="0" w:color="auto"/>
                                    <w:bottom w:val="none" w:sz="0" w:space="0" w:color="auto"/>
                                    <w:right w:val="none" w:sz="0" w:space="0" w:color="auto"/>
                                  </w:divBdr>
                                </w:div>
                              </w:divsChild>
                            </w:div>
                            <w:div w:id="8988052">
                              <w:marLeft w:val="0"/>
                              <w:marRight w:val="0"/>
                              <w:marTop w:val="0"/>
                              <w:marBottom w:val="0"/>
                              <w:divBdr>
                                <w:top w:val="none" w:sz="0" w:space="0" w:color="auto"/>
                                <w:left w:val="none" w:sz="0" w:space="0" w:color="auto"/>
                                <w:bottom w:val="none" w:sz="0" w:space="0" w:color="auto"/>
                                <w:right w:val="none" w:sz="0" w:space="0" w:color="auto"/>
                              </w:divBdr>
                              <w:divsChild>
                                <w:div w:id="903444241">
                                  <w:marLeft w:val="0"/>
                                  <w:marRight w:val="0"/>
                                  <w:marTop w:val="0"/>
                                  <w:marBottom w:val="0"/>
                                  <w:divBdr>
                                    <w:top w:val="none" w:sz="0" w:space="0" w:color="auto"/>
                                    <w:left w:val="none" w:sz="0" w:space="0" w:color="auto"/>
                                    <w:bottom w:val="none" w:sz="0" w:space="0" w:color="auto"/>
                                    <w:right w:val="none" w:sz="0" w:space="0" w:color="auto"/>
                                  </w:divBdr>
                                </w:div>
                              </w:divsChild>
                            </w:div>
                            <w:div w:id="1633948925">
                              <w:marLeft w:val="0"/>
                              <w:marRight w:val="0"/>
                              <w:marTop w:val="0"/>
                              <w:marBottom w:val="0"/>
                              <w:divBdr>
                                <w:top w:val="none" w:sz="0" w:space="0" w:color="auto"/>
                                <w:left w:val="none" w:sz="0" w:space="0" w:color="auto"/>
                                <w:bottom w:val="none" w:sz="0" w:space="0" w:color="auto"/>
                                <w:right w:val="none" w:sz="0" w:space="0" w:color="auto"/>
                              </w:divBdr>
                              <w:divsChild>
                                <w:div w:id="368459890">
                                  <w:marLeft w:val="0"/>
                                  <w:marRight w:val="0"/>
                                  <w:marTop w:val="0"/>
                                  <w:marBottom w:val="0"/>
                                  <w:divBdr>
                                    <w:top w:val="none" w:sz="0" w:space="0" w:color="auto"/>
                                    <w:left w:val="none" w:sz="0" w:space="0" w:color="auto"/>
                                    <w:bottom w:val="none" w:sz="0" w:space="0" w:color="auto"/>
                                    <w:right w:val="none" w:sz="0" w:space="0" w:color="auto"/>
                                  </w:divBdr>
                                  <w:divsChild>
                                    <w:div w:id="88383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2933">
                              <w:marLeft w:val="0"/>
                              <w:marRight w:val="0"/>
                              <w:marTop w:val="0"/>
                              <w:marBottom w:val="0"/>
                              <w:divBdr>
                                <w:top w:val="none" w:sz="0" w:space="0" w:color="auto"/>
                                <w:left w:val="none" w:sz="0" w:space="0" w:color="auto"/>
                                <w:bottom w:val="none" w:sz="0" w:space="0" w:color="auto"/>
                                <w:right w:val="none" w:sz="0" w:space="0" w:color="auto"/>
                              </w:divBdr>
                              <w:divsChild>
                                <w:div w:id="908272336">
                                  <w:marLeft w:val="0"/>
                                  <w:marRight w:val="0"/>
                                  <w:marTop w:val="0"/>
                                  <w:marBottom w:val="0"/>
                                  <w:divBdr>
                                    <w:top w:val="none" w:sz="0" w:space="0" w:color="auto"/>
                                    <w:left w:val="none" w:sz="0" w:space="0" w:color="auto"/>
                                    <w:bottom w:val="none" w:sz="0" w:space="0" w:color="auto"/>
                                    <w:right w:val="none" w:sz="0" w:space="0" w:color="auto"/>
                                  </w:divBdr>
                                </w:div>
                              </w:divsChild>
                            </w:div>
                            <w:div w:id="402483415">
                              <w:marLeft w:val="0"/>
                              <w:marRight w:val="0"/>
                              <w:marTop w:val="0"/>
                              <w:marBottom w:val="0"/>
                              <w:divBdr>
                                <w:top w:val="none" w:sz="0" w:space="0" w:color="auto"/>
                                <w:left w:val="none" w:sz="0" w:space="0" w:color="auto"/>
                                <w:bottom w:val="none" w:sz="0" w:space="0" w:color="auto"/>
                                <w:right w:val="none" w:sz="0" w:space="0" w:color="auto"/>
                              </w:divBdr>
                              <w:divsChild>
                                <w:div w:id="1048140073">
                                  <w:marLeft w:val="0"/>
                                  <w:marRight w:val="0"/>
                                  <w:marTop w:val="0"/>
                                  <w:marBottom w:val="0"/>
                                  <w:divBdr>
                                    <w:top w:val="none" w:sz="0" w:space="0" w:color="auto"/>
                                    <w:left w:val="none" w:sz="0" w:space="0" w:color="auto"/>
                                    <w:bottom w:val="none" w:sz="0" w:space="0" w:color="auto"/>
                                    <w:right w:val="none" w:sz="0" w:space="0" w:color="auto"/>
                                  </w:divBdr>
                                </w:div>
                              </w:divsChild>
                            </w:div>
                            <w:div w:id="865406723">
                              <w:marLeft w:val="0"/>
                              <w:marRight w:val="0"/>
                              <w:marTop w:val="0"/>
                              <w:marBottom w:val="0"/>
                              <w:divBdr>
                                <w:top w:val="none" w:sz="0" w:space="0" w:color="auto"/>
                                <w:left w:val="none" w:sz="0" w:space="0" w:color="auto"/>
                                <w:bottom w:val="none" w:sz="0" w:space="0" w:color="auto"/>
                                <w:right w:val="none" w:sz="0" w:space="0" w:color="auto"/>
                              </w:divBdr>
                              <w:divsChild>
                                <w:div w:id="882252880">
                                  <w:marLeft w:val="0"/>
                                  <w:marRight w:val="0"/>
                                  <w:marTop w:val="0"/>
                                  <w:marBottom w:val="0"/>
                                  <w:divBdr>
                                    <w:top w:val="none" w:sz="0" w:space="0" w:color="auto"/>
                                    <w:left w:val="none" w:sz="0" w:space="0" w:color="auto"/>
                                    <w:bottom w:val="none" w:sz="0" w:space="0" w:color="auto"/>
                                    <w:right w:val="none" w:sz="0" w:space="0" w:color="auto"/>
                                  </w:divBdr>
                                </w:div>
                              </w:divsChild>
                            </w:div>
                            <w:div w:id="1437023174">
                              <w:marLeft w:val="0"/>
                              <w:marRight w:val="0"/>
                              <w:marTop w:val="0"/>
                              <w:marBottom w:val="0"/>
                              <w:divBdr>
                                <w:top w:val="none" w:sz="0" w:space="0" w:color="auto"/>
                                <w:left w:val="none" w:sz="0" w:space="0" w:color="auto"/>
                                <w:bottom w:val="none" w:sz="0" w:space="0" w:color="auto"/>
                                <w:right w:val="none" w:sz="0" w:space="0" w:color="auto"/>
                              </w:divBdr>
                              <w:divsChild>
                                <w:div w:id="885678819">
                                  <w:marLeft w:val="0"/>
                                  <w:marRight w:val="0"/>
                                  <w:marTop w:val="0"/>
                                  <w:marBottom w:val="0"/>
                                  <w:divBdr>
                                    <w:top w:val="none" w:sz="0" w:space="0" w:color="auto"/>
                                    <w:left w:val="none" w:sz="0" w:space="0" w:color="auto"/>
                                    <w:bottom w:val="none" w:sz="0" w:space="0" w:color="auto"/>
                                    <w:right w:val="none" w:sz="0" w:space="0" w:color="auto"/>
                                  </w:divBdr>
                                  <w:divsChild>
                                    <w:div w:id="1785465333">
                                      <w:marLeft w:val="0"/>
                                      <w:marRight w:val="0"/>
                                      <w:marTop w:val="0"/>
                                      <w:marBottom w:val="0"/>
                                      <w:divBdr>
                                        <w:top w:val="none" w:sz="0" w:space="0" w:color="auto"/>
                                        <w:left w:val="none" w:sz="0" w:space="0" w:color="auto"/>
                                        <w:bottom w:val="none" w:sz="0" w:space="0" w:color="auto"/>
                                        <w:right w:val="none" w:sz="0" w:space="0" w:color="auto"/>
                                      </w:divBdr>
                                    </w:div>
                                    <w:div w:id="502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4084">
                              <w:marLeft w:val="0"/>
                              <w:marRight w:val="0"/>
                              <w:marTop w:val="0"/>
                              <w:marBottom w:val="0"/>
                              <w:divBdr>
                                <w:top w:val="none" w:sz="0" w:space="0" w:color="auto"/>
                                <w:left w:val="none" w:sz="0" w:space="0" w:color="auto"/>
                                <w:bottom w:val="none" w:sz="0" w:space="0" w:color="auto"/>
                                <w:right w:val="none" w:sz="0" w:space="0" w:color="auto"/>
                              </w:divBdr>
                              <w:divsChild>
                                <w:div w:id="1115829055">
                                  <w:marLeft w:val="0"/>
                                  <w:marRight w:val="0"/>
                                  <w:marTop w:val="0"/>
                                  <w:marBottom w:val="0"/>
                                  <w:divBdr>
                                    <w:top w:val="none" w:sz="0" w:space="0" w:color="auto"/>
                                    <w:left w:val="none" w:sz="0" w:space="0" w:color="auto"/>
                                    <w:bottom w:val="none" w:sz="0" w:space="0" w:color="auto"/>
                                    <w:right w:val="none" w:sz="0" w:space="0" w:color="auto"/>
                                  </w:divBdr>
                                </w:div>
                              </w:divsChild>
                            </w:div>
                            <w:div w:id="1355570493">
                              <w:marLeft w:val="0"/>
                              <w:marRight w:val="0"/>
                              <w:marTop w:val="0"/>
                              <w:marBottom w:val="0"/>
                              <w:divBdr>
                                <w:top w:val="none" w:sz="0" w:space="0" w:color="auto"/>
                                <w:left w:val="none" w:sz="0" w:space="0" w:color="auto"/>
                                <w:bottom w:val="none" w:sz="0" w:space="0" w:color="auto"/>
                                <w:right w:val="none" w:sz="0" w:space="0" w:color="auto"/>
                              </w:divBdr>
                              <w:divsChild>
                                <w:div w:id="217478638">
                                  <w:marLeft w:val="0"/>
                                  <w:marRight w:val="0"/>
                                  <w:marTop w:val="0"/>
                                  <w:marBottom w:val="0"/>
                                  <w:divBdr>
                                    <w:top w:val="none" w:sz="0" w:space="0" w:color="auto"/>
                                    <w:left w:val="none" w:sz="0" w:space="0" w:color="auto"/>
                                    <w:bottom w:val="none" w:sz="0" w:space="0" w:color="auto"/>
                                    <w:right w:val="none" w:sz="0" w:space="0" w:color="auto"/>
                                  </w:divBdr>
                                </w:div>
                              </w:divsChild>
                            </w:div>
                            <w:div w:id="380787957">
                              <w:marLeft w:val="0"/>
                              <w:marRight w:val="0"/>
                              <w:marTop w:val="0"/>
                              <w:marBottom w:val="0"/>
                              <w:divBdr>
                                <w:top w:val="none" w:sz="0" w:space="0" w:color="auto"/>
                                <w:left w:val="none" w:sz="0" w:space="0" w:color="auto"/>
                                <w:bottom w:val="none" w:sz="0" w:space="0" w:color="auto"/>
                                <w:right w:val="none" w:sz="0" w:space="0" w:color="auto"/>
                              </w:divBdr>
                              <w:divsChild>
                                <w:div w:id="298344378">
                                  <w:marLeft w:val="0"/>
                                  <w:marRight w:val="0"/>
                                  <w:marTop w:val="0"/>
                                  <w:marBottom w:val="0"/>
                                  <w:divBdr>
                                    <w:top w:val="none" w:sz="0" w:space="0" w:color="auto"/>
                                    <w:left w:val="none" w:sz="0" w:space="0" w:color="auto"/>
                                    <w:bottom w:val="none" w:sz="0" w:space="0" w:color="auto"/>
                                    <w:right w:val="none" w:sz="0" w:space="0" w:color="auto"/>
                                  </w:divBdr>
                                </w:div>
                              </w:divsChild>
                            </w:div>
                            <w:div w:id="383258692">
                              <w:marLeft w:val="0"/>
                              <w:marRight w:val="0"/>
                              <w:marTop w:val="0"/>
                              <w:marBottom w:val="0"/>
                              <w:divBdr>
                                <w:top w:val="none" w:sz="0" w:space="0" w:color="auto"/>
                                <w:left w:val="none" w:sz="0" w:space="0" w:color="auto"/>
                                <w:bottom w:val="none" w:sz="0" w:space="0" w:color="auto"/>
                                <w:right w:val="none" w:sz="0" w:space="0" w:color="auto"/>
                              </w:divBdr>
                              <w:divsChild>
                                <w:div w:id="1220097098">
                                  <w:marLeft w:val="0"/>
                                  <w:marRight w:val="0"/>
                                  <w:marTop w:val="0"/>
                                  <w:marBottom w:val="0"/>
                                  <w:divBdr>
                                    <w:top w:val="none" w:sz="0" w:space="0" w:color="auto"/>
                                    <w:left w:val="none" w:sz="0" w:space="0" w:color="auto"/>
                                    <w:bottom w:val="none" w:sz="0" w:space="0" w:color="auto"/>
                                    <w:right w:val="none" w:sz="0" w:space="0" w:color="auto"/>
                                  </w:divBdr>
                                </w:div>
                              </w:divsChild>
                            </w:div>
                            <w:div w:id="1165707873">
                              <w:marLeft w:val="0"/>
                              <w:marRight w:val="0"/>
                              <w:marTop w:val="0"/>
                              <w:marBottom w:val="0"/>
                              <w:divBdr>
                                <w:top w:val="none" w:sz="0" w:space="0" w:color="auto"/>
                                <w:left w:val="none" w:sz="0" w:space="0" w:color="auto"/>
                                <w:bottom w:val="none" w:sz="0" w:space="0" w:color="auto"/>
                                <w:right w:val="none" w:sz="0" w:space="0" w:color="auto"/>
                              </w:divBdr>
                              <w:divsChild>
                                <w:div w:id="283924708">
                                  <w:marLeft w:val="0"/>
                                  <w:marRight w:val="0"/>
                                  <w:marTop w:val="0"/>
                                  <w:marBottom w:val="0"/>
                                  <w:divBdr>
                                    <w:top w:val="none" w:sz="0" w:space="0" w:color="auto"/>
                                    <w:left w:val="none" w:sz="0" w:space="0" w:color="auto"/>
                                    <w:bottom w:val="none" w:sz="0" w:space="0" w:color="auto"/>
                                    <w:right w:val="none" w:sz="0" w:space="0" w:color="auto"/>
                                  </w:divBdr>
                                </w:div>
                              </w:divsChild>
                            </w:div>
                            <w:div w:id="77211903">
                              <w:marLeft w:val="0"/>
                              <w:marRight w:val="0"/>
                              <w:marTop w:val="0"/>
                              <w:marBottom w:val="0"/>
                              <w:divBdr>
                                <w:top w:val="none" w:sz="0" w:space="0" w:color="auto"/>
                                <w:left w:val="none" w:sz="0" w:space="0" w:color="auto"/>
                                <w:bottom w:val="none" w:sz="0" w:space="0" w:color="auto"/>
                                <w:right w:val="none" w:sz="0" w:space="0" w:color="auto"/>
                              </w:divBdr>
                              <w:divsChild>
                                <w:div w:id="464200830">
                                  <w:marLeft w:val="0"/>
                                  <w:marRight w:val="0"/>
                                  <w:marTop w:val="0"/>
                                  <w:marBottom w:val="0"/>
                                  <w:divBdr>
                                    <w:top w:val="none" w:sz="0" w:space="0" w:color="auto"/>
                                    <w:left w:val="none" w:sz="0" w:space="0" w:color="auto"/>
                                    <w:bottom w:val="none" w:sz="0" w:space="0" w:color="auto"/>
                                    <w:right w:val="none" w:sz="0" w:space="0" w:color="auto"/>
                                  </w:divBdr>
                                </w:div>
                              </w:divsChild>
                            </w:div>
                            <w:div w:id="1307127512">
                              <w:marLeft w:val="0"/>
                              <w:marRight w:val="0"/>
                              <w:marTop w:val="0"/>
                              <w:marBottom w:val="0"/>
                              <w:divBdr>
                                <w:top w:val="none" w:sz="0" w:space="0" w:color="auto"/>
                                <w:left w:val="none" w:sz="0" w:space="0" w:color="auto"/>
                                <w:bottom w:val="none" w:sz="0" w:space="0" w:color="auto"/>
                                <w:right w:val="none" w:sz="0" w:space="0" w:color="auto"/>
                              </w:divBdr>
                              <w:divsChild>
                                <w:div w:id="1091048678">
                                  <w:marLeft w:val="0"/>
                                  <w:marRight w:val="0"/>
                                  <w:marTop w:val="0"/>
                                  <w:marBottom w:val="0"/>
                                  <w:divBdr>
                                    <w:top w:val="none" w:sz="0" w:space="0" w:color="auto"/>
                                    <w:left w:val="none" w:sz="0" w:space="0" w:color="auto"/>
                                    <w:bottom w:val="none" w:sz="0" w:space="0" w:color="auto"/>
                                    <w:right w:val="none" w:sz="0" w:space="0" w:color="auto"/>
                                  </w:divBdr>
                                </w:div>
                                <w:div w:id="1023941986">
                                  <w:marLeft w:val="0"/>
                                  <w:marRight w:val="0"/>
                                  <w:marTop w:val="0"/>
                                  <w:marBottom w:val="0"/>
                                  <w:divBdr>
                                    <w:top w:val="none" w:sz="0" w:space="0" w:color="auto"/>
                                    <w:left w:val="none" w:sz="0" w:space="0" w:color="auto"/>
                                    <w:bottom w:val="none" w:sz="0" w:space="0" w:color="auto"/>
                                    <w:right w:val="none" w:sz="0" w:space="0" w:color="auto"/>
                                  </w:divBdr>
                                </w:div>
                              </w:divsChild>
                            </w:div>
                            <w:div w:id="1362899306">
                              <w:marLeft w:val="0"/>
                              <w:marRight w:val="0"/>
                              <w:marTop w:val="0"/>
                              <w:marBottom w:val="0"/>
                              <w:divBdr>
                                <w:top w:val="none" w:sz="0" w:space="0" w:color="auto"/>
                                <w:left w:val="none" w:sz="0" w:space="0" w:color="auto"/>
                                <w:bottom w:val="none" w:sz="0" w:space="0" w:color="auto"/>
                                <w:right w:val="none" w:sz="0" w:space="0" w:color="auto"/>
                              </w:divBdr>
                              <w:divsChild>
                                <w:div w:id="980428241">
                                  <w:marLeft w:val="0"/>
                                  <w:marRight w:val="0"/>
                                  <w:marTop w:val="0"/>
                                  <w:marBottom w:val="0"/>
                                  <w:divBdr>
                                    <w:top w:val="none" w:sz="0" w:space="0" w:color="auto"/>
                                    <w:left w:val="none" w:sz="0" w:space="0" w:color="auto"/>
                                    <w:bottom w:val="none" w:sz="0" w:space="0" w:color="auto"/>
                                    <w:right w:val="none" w:sz="0" w:space="0" w:color="auto"/>
                                  </w:divBdr>
                                </w:div>
                              </w:divsChild>
                            </w:div>
                            <w:div w:id="50230018">
                              <w:marLeft w:val="0"/>
                              <w:marRight w:val="0"/>
                              <w:marTop w:val="0"/>
                              <w:marBottom w:val="0"/>
                              <w:divBdr>
                                <w:top w:val="none" w:sz="0" w:space="0" w:color="auto"/>
                                <w:left w:val="none" w:sz="0" w:space="0" w:color="auto"/>
                                <w:bottom w:val="none" w:sz="0" w:space="0" w:color="auto"/>
                                <w:right w:val="none" w:sz="0" w:space="0" w:color="auto"/>
                              </w:divBdr>
                              <w:divsChild>
                                <w:div w:id="1234464670">
                                  <w:marLeft w:val="0"/>
                                  <w:marRight w:val="0"/>
                                  <w:marTop w:val="0"/>
                                  <w:marBottom w:val="0"/>
                                  <w:divBdr>
                                    <w:top w:val="none" w:sz="0" w:space="0" w:color="auto"/>
                                    <w:left w:val="none" w:sz="0" w:space="0" w:color="auto"/>
                                    <w:bottom w:val="none" w:sz="0" w:space="0" w:color="auto"/>
                                    <w:right w:val="none" w:sz="0" w:space="0" w:color="auto"/>
                                  </w:divBdr>
                                </w:div>
                                <w:div w:id="584002042">
                                  <w:marLeft w:val="0"/>
                                  <w:marRight w:val="0"/>
                                  <w:marTop w:val="0"/>
                                  <w:marBottom w:val="0"/>
                                  <w:divBdr>
                                    <w:top w:val="none" w:sz="0" w:space="0" w:color="auto"/>
                                    <w:left w:val="none" w:sz="0" w:space="0" w:color="auto"/>
                                    <w:bottom w:val="none" w:sz="0" w:space="0" w:color="auto"/>
                                    <w:right w:val="none" w:sz="0" w:space="0" w:color="auto"/>
                                  </w:divBdr>
                                </w:div>
                              </w:divsChild>
                            </w:div>
                            <w:div w:id="1099182570">
                              <w:marLeft w:val="0"/>
                              <w:marRight w:val="0"/>
                              <w:marTop w:val="0"/>
                              <w:marBottom w:val="0"/>
                              <w:divBdr>
                                <w:top w:val="none" w:sz="0" w:space="0" w:color="auto"/>
                                <w:left w:val="none" w:sz="0" w:space="0" w:color="auto"/>
                                <w:bottom w:val="none" w:sz="0" w:space="0" w:color="auto"/>
                                <w:right w:val="none" w:sz="0" w:space="0" w:color="auto"/>
                              </w:divBdr>
                              <w:divsChild>
                                <w:div w:id="1015617622">
                                  <w:marLeft w:val="0"/>
                                  <w:marRight w:val="0"/>
                                  <w:marTop w:val="0"/>
                                  <w:marBottom w:val="0"/>
                                  <w:divBdr>
                                    <w:top w:val="none" w:sz="0" w:space="0" w:color="auto"/>
                                    <w:left w:val="none" w:sz="0" w:space="0" w:color="auto"/>
                                    <w:bottom w:val="none" w:sz="0" w:space="0" w:color="auto"/>
                                    <w:right w:val="none" w:sz="0" w:space="0" w:color="auto"/>
                                  </w:divBdr>
                                </w:div>
                                <w:div w:id="753012325">
                                  <w:marLeft w:val="0"/>
                                  <w:marRight w:val="0"/>
                                  <w:marTop w:val="0"/>
                                  <w:marBottom w:val="0"/>
                                  <w:divBdr>
                                    <w:top w:val="none" w:sz="0" w:space="0" w:color="auto"/>
                                    <w:left w:val="none" w:sz="0" w:space="0" w:color="auto"/>
                                    <w:bottom w:val="none" w:sz="0" w:space="0" w:color="auto"/>
                                    <w:right w:val="none" w:sz="0" w:space="0" w:color="auto"/>
                                  </w:divBdr>
                                </w:div>
                              </w:divsChild>
                            </w:div>
                            <w:div w:id="370422159">
                              <w:marLeft w:val="0"/>
                              <w:marRight w:val="0"/>
                              <w:marTop w:val="0"/>
                              <w:marBottom w:val="0"/>
                              <w:divBdr>
                                <w:top w:val="none" w:sz="0" w:space="0" w:color="auto"/>
                                <w:left w:val="none" w:sz="0" w:space="0" w:color="auto"/>
                                <w:bottom w:val="none" w:sz="0" w:space="0" w:color="auto"/>
                                <w:right w:val="none" w:sz="0" w:space="0" w:color="auto"/>
                              </w:divBdr>
                              <w:divsChild>
                                <w:div w:id="1861427883">
                                  <w:marLeft w:val="0"/>
                                  <w:marRight w:val="0"/>
                                  <w:marTop w:val="0"/>
                                  <w:marBottom w:val="0"/>
                                  <w:divBdr>
                                    <w:top w:val="none" w:sz="0" w:space="0" w:color="auto"/>
                                    <w:left w:val="none" w:sz="0" w:space="0" w:color="auto"/>
                                    <w:bottom w:val="none" w:sz="0" w:space="0" w:color="auto"/>
                                    <w:right w:val="none" w:sz="0" w:space="0" w:color="auto"/>
                                  </w:divBdr>
                                </w:div>
                                <w:div w:id="2080394569">
                                  <w:marLeft w:val="0"/>
                                  <w:marRight w:val="0"/>
                                  <w:marTop w:val="0"/>
                                  <w:marBottom w:val="0"/>
                                  <w:divBdr>
                                    <w:top w:val="none" w:sz="0" w:space="0" w:color="auto"/>
                                    <w:left w:val="none" w:sz="0" w:space="0" w:color="auto"/>
                                    <w:bottom w:val="none" w:sz="0" w:space="0" w:color="auto"/>
                                    <w:right w:val="none" w:sz="0" w:space="0" w:color="auto"/>
                                  </w:divBdr>
                                </w:div>
                              </w:divsChild>
                            </w:div>
                            <w:div w:id="1110779599">
                              <w:marLeft w:val="0"/>
                              <w:marRight w:val="0"/>
                              <w:marTop w:val="0"/>
                              <w:marBottom w:val="0"/>
                              <w:divBdr>
                                <w:top w:val="none" w:sz="0" w:space="0" w:color="auto"/>
                                <w:left w:val="none" w:sz="0" w:space="0" w:color="auto"/>
                                <w:bottom w:val="none" w:sz="0" w:space="0" w:color="auto"/>
                                <w:right w:val="none" w:sz="0" w:space="0" w:color="auto"/>
                              </w:divBdr>
                              <w:divsChild>
                                <w:div w:id="1163660460">
                                  <w:marLeft w:val="0"/>
                                  <w:marRight w:val="0"/>
                                  <w:marTop w:val="0"/>
                                  <w:marBottom w:val="0"/>
                                  <w:divBdr>
                                    <w:top w:val="none" w:sz="0" w:space="0" w:color="auto"/>
                                    <w:left w:val="none" w:sz="0" w:space="0" w:color="auto"/>
                                    <w:bottom w:val="none" w:sz="0" w:space="0" w:color="auto"/>
                                    <w:right w:val="none" w:sz="0" w:space="0" w:color="auto"/>
                                  </w:divBdr>
                                </w:div>
                                <w:div w:id="1070425227">
                                  <w:marLeft w:val="0"/>
                                  <w:marRight w:val="0"/>
                                  <w:marTop w:val="0"/>
                                  <w:marBottom w:val="0"/>
                                  <w:divBdr>
                                    <w:top w:val="none" w:sz="0" w:space="0" w:color="auto"/>
                                    <w:left w:val="none" w:sz="0" w:space="0" w:color="auto"/>
                                    <w:bottom w:val="none" w:sz="0" w:space="0" w:color="auto"/>
                                    <w:right w:val="none" w:sz="0" w:space="0" w:color="auto"/>
                                  </w:divBdr>
                                </w:div>
                              </w:divsChild>
                            </w:div>
                            <w:div w:id="2111003584">
                              <w:marLeft w:val="0"/>
                              <w:marRight w:val="0"/>
                              <w:marTop w:val="0"/>
                              <w:marBottom w:val="0"/>
                              <w:divBdr>
                                <w:top w:val="none" w:sz="0" w:space="0" w:color="auto"/>
                                <w:left w:val="none" w:sz="0" w:space="0" w:color="auto"/>
                                <w:bottom w:val="none" w:sz="0" w:space="0" w:color="auto"/>
                                <w:right w:val="none" w:sz="0" w:space="0" w:color="auto"/>
                              </w:divBdr>
                              <w:divsChild>
                                <w:div w:id="1474373335">
                                  <w:marLeft w:val="0"/>
                                  <w:marRight w:val="0"/>
                                  <w:marTop w:val="0"/>
                                  <w:marBottom w:val="0"/>
                                  <w:divBdr>
                                    <w:top w:val="none" w:sz="0" w:space="0" w:color="auto"/>
                                    <w:left w:val="none" w:sz="0" w:space="0" w:color="auto"/>
                                    <w:bottom w:val="none" w:sz="0" w:space="0" w:color="auto"/>
                                    <w:right w:val="none" w:sz="0" w:space="0" w:color="auto"/>
                                  </w:divBdr>
                                </w:div>
                                <w:div w:id="441263560">
                                  <w:marLeft w:val="0"/>
                                  <w:marRight w:val="0"/>
                                  <w:marTop w:val="0"/>
                                  <w:marBottom w:val="0"/>
                                  <w:divBdr>
                                    <w:top w:val="none" w:sz="0" w:space="0" w:color="auto"/>
                                    <w:left w:val="none" w:sz="0" w:space="0" w:color="auto"/>
                                    <w:bottom w:val="none" w:sz="0" w:space="0" w:color="auto"/>
                                    <w:right w:val="none" w:sz="0" w:space="0" w:color="auto"/>
                                  </w:divBdr>
                                </w:div>
                              </w:divsChild>
                            </w:div>
                            <w:div w:id="840240076">
                              <w:marLeft w:val="0"/>
                              <w:marRight w:val="0"/>
                              <w:marTop w:val="0"/>
                              <w:marBottom w:val="0"/>
                              <w:divBdr>
                                <w:top w:val="none" w:sz="0" w:space="0" w:color="auto"/>
                                <w:left w:val="none" w:sz="0" w:space="0" w:color="auto"/>
                                <w:bottom w:val="none" w:sz="0" w:space="0" w:color="auto"/>
                                <w:right w:val="none" w:sz="0" w:space="0" w:color="auto"/>
                              </w:divBdr>
                              <w:divsChild>
                                <w:div w:id="1714773205">
                                  <w:marLeft w:val="0"/>
                                  <w:marRight w:val="0"/>
                                  <w:marTop w:val="0"/>
                                  <w:marBottom w:val="0"/>
                                  <w:divBdr>
                                    <w:top w:val="none" w:sz="0" w:space="0" w:color="auto"/>
                                    <w:left w:val="none" w:sz="0" w:space="0" w:color="auto"/>
                                    <w:bottom w:val="none" w:sz="0" w:space="0" w:color="auto"/>
                                    <w:right w:val="none" w:sz="0" w:space="0" w:color="auto"/>
                                  </w:divBdr>
                                </w:div>
                                <w:div w:id="199784411">
                                  <w:marLeft w:val="0"/>
                                  <w:marRight w:val="0"/>
                                  <w:marTop w:val="0"/>
                                  <w:marBottom w:val="0"/>
                                  <w:divBdr>
                                    <w:top w:val="none" w:sz="0" w:space="0" w:color="auto"/>
                                    <w:left w:val="none" w:sz="0" w:space="0" w:color="auto"/>
                                    <w:bottom w:val="none" w:sz="0" w:space="0" w:color="auto"/>
                                    <w:right w:val="none" w:sz="0" w:space="0" w:color="auto"/>
                                  </w:divBdr>
                                </w:div>
                              </w:divsChild>
                            </w:div>
                            <w:div w:id="1666587091">
                              <w:marLeft w:val="0"/>
                              <w:marRight w:val="0"/>
                              <w:marTop w:val="0"/>
                              <w:marBottom w:val="0"/>
                              <w:divBdr>
                                <w:top w:val="none" w:sz="0" w:space="0" w:color="auto"/>
                                <w:left w:val="none" w:sz="0" w:space="0" w:color="auto"/>
                                <w:bottom w:val="none" w:sz="0" w:space="0" w:color="auto"/>
                                <w:right w:val="none" w:sz="0" w:space="0" w:color="auto"/>
                              </w:divBdr>
                              <w:divsChild>
                                <w:div w:id="245193901">
                                  <w:marLeft w:val="0"/>
                                  <w:marRight w:val="0"/>
                                  <w:marTop w:val="0"/>
                                  <w:marBottom w:val="0"/>
                                  <w:divBdr>
                                    <w:top w:val="none" w:sz="0" w:space="0" w:color="auto"/>
                                    <w:left w:val="none" w:sz="0" w:space="0" w:color="auto"/>
                                    <w:bottom w:val="none" w:sz="0" w:space="0" w:color="auto"/>
                                    <w:right w:val="none" w:sz="0" w:space="0" w:color="auto"/>
                                  </w:divBdr>
                                </w:div>
                                <w:div w:id="1957439797">
                                  <w:marLeft w:val="0"/>
                                  <w:marRight w:val="0"/>
                                  <w:marTop w:val="0"/>
                                  <w:marBottom w:val="0"/>
                                  <w:divBdr>
                                    <w:top w:val="none" w:sz="0" w:space="0" w:color="auto"/>
                                    <w:left w:val="none" w:sz="0" w:space="0" w:color="auto"/>
                                    <w:bottom w:val="none" w:sz="0" w:space="0" w:color="auto"/>
                                    <w:right w:val="none" w:sz="0" w:space="0" w:color="auto"/>
                                  </w:divBdr>
                                </w:div>
                              </w:divsChild>
                            </w:div>
                            <w:div w:id="1600143913">
                              <w:marLeft w:val="0"/>
                              <w:marRight w:val="0"/>
                              <w:marTop w:val="0"/>
                              <w:marBottom w:val="0"/>
                              <w:divBdr>
                                <w:top w:val="none" w:sz="0" w:space="0" w:color="auto"/>
                                <w:left w:val="none" w:sz="0" w:space="0" w:color="auto"/>
                                <w:bottom w:val="none" w:sz="0" w:space="0" w:color="auto"/>
                                <w:right w:val="none" w:sz="0" w:space="0" w:color="auto"/>
                              </w:divBdr>
                              <w:divsChild>
                                <w:div w:id="1403067491">
                                  <w:marLeft w:val="0"/>
                                  <w:marRight w:val="0"/>
                                  <w:marTop w:val="0"/>
                                  <w:marBottom w:val="0"/>
                                  <w:divBdr>
                                    <w:top w:val="none" w:sz="0" w:space="0" w:color="auto"/>
                                    <w:left w:val="none" w:sz="0" w:space="0" w:color="auto"/>
                                    <w:bottom w:val="none" w:sz="0" w:space="0" w:color="auto"/>
                                    <w:right w:val="none" w:sz="0" w:space="0" w:color="auto"/>
                                  </w:divBdr>
                                </w:div>
                                <w:div w:id="23530626">
                                  <w:marLeft w:val="0"/>
                                  <w:marRight w:val="0"/>
                                  <w:marTop w:val="0"/>
                                  <w:marBottom w:val="0"/>
                                  <w:divBdr>
                                    <w:top w:val="none" w:sz="0" w:space="0" w:color="auto"/>
                                    <w:left w:val="none" w:sz="0" w:space="0" w:color="auto"/>
                                    <w:bottom w:val="none" w:sz="0" w:space="0" w:color="auto"/>
                                    <w:right w:val="none" w:sz="0" w:space="0" w:color="auto"/>
                                  </w:divBdr>
                                </w:div>
                              </w:divsChild>
                            </w:div>
                            <w:div w:id="1481070872">
                              <w:marLeft w:val="0"/>
                              <w:marRight w:val="0"/>
                              <w:marTop w:val="0"/>
                              <w:marBottom w:val="0"/>
                              <w:divBdr>
                                <w:top w:val="none" w:sz="0" w:space="0" w:color="auto"/>
                                <w:left w:val="none" w:sz="0" w:space="0" w:color="auto"/>
                                <w:bottom w:val="none" w:sz="0" w:space="0" w:color="auto"/>
                                <w:right w:val="none" w:sz="0" w:space="0" w:color="auto"/>
                              </w:divBdr>
                              <w:divsChild>
                                <w:div w:id="1013453468">
                                  <w:marLeft w:val="0"/>
                                  <w:marRight w:val="0"/>
                                  <w:marTop w:val="0"/>
                                  <w:marBottom w:val="0"/>
                                  <w:divBdr>
                                    <w:top w:val="none" w:sz="0" w:space="0" w:color="auto"/>
                                    <w:left w:val="none" w:sz="0" w:space="0" w:color="auto"/>
                                    <w:bottom w:val="none" w:sz="0" w:space="0" w:color="auto"/>
                                    <w:right w:val="none" w:sz="0" w:space="0" w:color="auto"/>
                                  </w:divBdr>
                                </w:div>
                                <w:div w:id="19473019">
                                  <w:marLeft w:val="0"/>
                                  <w:marRight w:val="0"/>
                                  <w:marTop w:val="0"/>
                                  <w:marBottom w:val="0"/>
                                  <w:divBdr>
                                    <w:top w:val="none" w:sz="0" w:space="0" w:color="auto"/>
                                    <w:left w:val="none" w:sz="0" w:space="0" w:color="auto"/>
                                    <w:bottom w:val="none" w:sz="0" w:space="0" w:color="auto"/>
                                    <w:right w:val="none" w:sz="0" w:space="0" w:color="auto"/>
                                  </w:divBdr>
                                </w:div>
                              </w:divsChild>
                            </w:div>
                            <w:div w:id="627665061">
                              <w:marLeft w:val="0"/>
                              <w:marRight w:val="0"/>
                              <w:marTop w:val="0"/>
                              <w:marBottom w:val="0"/>
                              <w:divBdr>
                                <w:top w:val="none" w:sz="0" w:space="0" w:color="auto"/>
                                <w:left w:val="none" w:sz="0" w:space="0" w:color="auto"/>
                                <w:bottom w:val="none" w:sz="0" w:space="0" w:color="auto"/>
                                <w:right w:val="none" w:sz="0" w:space="0" w:color="auto"/>
                              </w:divBdr>
                              <w:divsChild>
                                <w:div w:id="524291518">
                                  <w:marLeft w:val="0"/>
                                  <w:marRight w:val="0"/>
                                  <w:marTop w:val="0"/>
                                  <w:marBottom w:val="0"/>
                                  <w:divBdr>
                                    <w:top w:val="none" w:sz="0" w:space="0" w:color="auto"/>
                                    <w:left w:val="none" w:sz="0" w:space="0" w:color="auto"/>
                                    <w:bottom w:val="none" w:sz="0" w:space="0" w:color="auto"/>
                                    <w:right w:val="none" w:sz="0" w:space="0" w:color="auto"/>
                                  </w:divBdr>
                                </w:div>
                                <w:div w:id="1154833956">
                                  <w:marLeft w:val="0"/>
                                  <w:marRight w:val="0"/>
                                  <w:marTop w:val="0"/>
                                  <w:marBottom w:val="0"/>
                                  <w:divBdr>
                                    <w:top w:val="none" w:sz="0" w:space="0" w:color="auto"/>
                                    <w:left w:val="none" w:sz="0" w:space="0" w:color="auto"/>
                                    <w:bottom w:val="none" w:sz="0" w:space="0" w:color="auto"/>
                                    <w:right w:val="none" w:sz="0" w:space="0" w:color="auto"/>
                                  </w:divBdr>
                                </w:div>
                              </w:divsChild>
                            </w:div>
                            <w:div w:id="543636871">
                              <w:marLeft w:val="0"/>
                              <w:marRight w:val="0"/>
                              <w:marTop w:val="0"/>
                              <w:marBottom w:val="0"/>
                              <w:divBdr>
                                <w:top w:val="none" w:sz="0" w:space="0" w:color="auto"/>
                                <w:left w:val="none" w:sz="0" w:space="0" w:color="auto"/>
                                <w:bottom w:val="none" w:sz="0" w:space="0" w:color="auto"/>
                                <w:right w:val="none" w:sz="0" w:space="0" w:color="auto"/>
                              </w:divBdr>
                              <w:divsChild>
                                <w:div w:id="879629939">
                                  <w:marLeft w:val="0"/>
                                  <w:marRight w:val="0"/>
                                  <w:marTop w:val="0"/>
                                  <w:marBottom w:val="0"/>
                                  <w:divBdr>
                                    <w:top w:val="none" w:sz="0" w:space="0" w:color="auto"/>
                                    <w:left w:val="none" w:sz="0" w:space="0" w:color="auto"/>
                                    <w:bottom w:val="none" w:sz="0" w:space="0" w:color="auto"/>
                                    <w:right w:val="none" w:sz="0" w:space="0" w:color="auto"/>
                                  </w:divBdr>
                                </w:div>
                                <w:div w:id="1443452291">
                                  <w:marLeft w:val="0"/>
                                  <w:marRight w:val="0"/>
                                  <w:marTop w:val="0"/>
                                  <w:marBottom w:val="0"/>
                                  <w:divBdr>
                                    <w:top w:val="none" w:sz="0" w:space="0" w:color="auto"/>
                                    <w:left w:val="none" w:sz="0" w:space="0" w:color="auto"/>
                                    <w:bottom w:val="none" w:sz="0" w:space="0" w:color="auto"/>
                                    <w:right w:val="none" w:sz="0" w:space="0" w:color="auto"/>
                                  </w:divBdr>
                                </w:div>
                              </w:divsChild>
                            </w:div>
                            <w:div w:id="484779899">
                              <w:marLeft w:val="0"/>
                              <w:marRight w:val="0"/>
                              <w:marTop w:val="0"/>
                              <w:marBottom w:val="0"/>
                              <w:divBdr>
                                <w:top w:val="none" w:sz="0" w:space="0" w:color="auto"/>
                                <w:left w:val="none" w:sz="0" w:space="0" w:color="auto"/>
                                <w:bottom w:val="none" w:sz="0" w:space="0" w:color="auto"/>
                                <w:right w:val="none" w:sz="0" w:space="0" w:color="auto"/>
                              </w:divBdr>
                              <w:divsChild>
                                <w:div w:id="1875922957">
                                  <w:marLeft w:val="0"/>
                                  <w:marRight w:val="0"/>
                                  <w:marTop w:val="0"/>
                                  <w:marBottom w:val="0"/>
                                  <w:divBdr>
                                    <w:top w:val="none" w:sz="0" w:space="0" w:color="auto"/>
                                    <w:left w:val="none" w:sz="0" w:space="0" w:color="auto"/>
                                    <w:bottom w:val="none" w:sz="0" w:space="0" w:color="auto"/>
                                    <w:right w:val="none" w:sz="0" w:space="0" w:color="auto"/>
                                  </w:divBdr>
                                </w:div>
                                <w:div w:id="584654067">
                                  <w:marLeft w:val="0"/>
                                  <w:marRight w:val="0"/>
                                  <w:marTop w:val="0"/>
                                  <w:marBottom w:val="0"/>
                                  <w:divBdr>
                                    <w:top w:val="none" w:sz="0" w:space="0" w:color="auto"/>
                                    <w:left w:val="none" w:sz="0" w:space="0" w:color="auto"/>
                                    <w:bottom w:val="none" w:sz="0" w:space="0" w:color="auto"/>
                                    <w:right w:val="none" w:sz="0" w:space="0" w:color="auto"/>
                                  </w:divBdr>
                                </w:div>
                              </w:divsChild>
                            </w:div>
                            <w:div w:id="22365655">
                              <w:marLeft w:val="0"/>
                              <w:marRight w:val="0"/>
                              <w:marTop w:val="0"/>
                              <w:marBottom w:val="0"/>
                              <w:divBdr>
                                <w:top w:val="none" w:sz="0" w:space="0" w:color="auto"/>
                                <w:left w:val="none" w:sz="0" w:space="0" w:color="auto"/>
                                <w:bottom w:val="none" w:sz="0" w:space="0" w:color="auto"/>
                                <w:right w:val="none" w:sz="0" w:space="0" w:color="auto"/>
                              </w:divBdr>
                              <w:divsChild>
                                <w:div w:id="793864552">
                                  <w:marLeft w:val="0"/>
                                  <w:marRight w:val="0"/>
                                  <w:marTop w:val="0"/>
                                  <w:marBottom w:val="0"/>
                                  <w:divBdr>
                                    <w:top w:val="none" w:sz="0" w:space="0" w:color="auto"/>
                                    <w:left w:val="none" w:sz="0" w:space="0" w:color="auto"/>
                                    <w:bottom w:val="none" w:sz="0" w:space="0" w:color="auto"/>
                                    <w:right w:val="none" w:sz="0" w:space="0" w:color="auto"/>
                                  </w:divBdr>
                                </w:div>
                                <w:div w:id="1756433789">
                                  <w:marLeft w:val="0"/>
                                  <w:marRight w:val="0"/>
                                  <w:marTop w:val="0"/>
                                  <w:marBottom w:val="0"/>
                                  <w:divBdr>
                                    <w:top w:val="none" w:sz="0" w:space="0" w:color="auto"/>
                                    <w:left w:val="none" w:sz="0" w:space="0" w:color="auto"/>
                                    <w:bottom w:val="none" w:sz="0" w:space="0" w:color="auto"/>
                                    <w:right w:val="none" w:sz="0" w:space="0" w:color="auto"/>
                                  </w:divBdr>
                                </w:div>
                              </w:divsChild>
                            </w:div>
                            <w:div w:id="1677882472">
                              <w:marLeft w:val="0"/>
                              <w:marRight w:val="0"/>
                              <w:marTop w:val="0"/>
                              <w:marBottom w:val="0"/>
                              <w:divBdr>
                                <w:top w:val="none" w:sz="0" w:space="0" w:color="auto"/>
                                <w:left w:val="none" w:sz="0" w:space="0" w:color="auto"/>
                                <w:bottom w:val="none" w:sz="0" w:space="0" w:color="auto"/>
                                <w:right w:val="none" w:sz="0" w:space="0" w:color="auto"/>
                              </w:divBdr>
                              <w:divsChild>
                                <w:div w:id="1858617449">
                                  <w:marLeft w:val="0"/>
                                  <w:marRight w:val="0"/>
                                  <w:marTop w:val="0"/>
                                  <w:marBottom w:val="0"/>
                                  <w:divBdr>
                                    <w:top w:val="none" w:sz="0" w:space="0" w:color="auto"/>
                                    <w:left w:val="none" w:sz="0" w:space="0" w:color="auto"/>
                                    <w:bottom w:val="none" w:sz="0" w:space="0" w:color="auto"/>
                                    <w:right w:val="none" w:sz="0" w:space="0" w:color="auto"/>
                                  </w:divBdr>
                                </w:div>
                                <w:div w:id="221335870">
                                  <w:marLeft w:val="0"/>
                                  <w:marRight w:val="0"/>
                                  <w:marTop w:val="0"/>
                                  <w:marBottom w:val="0"/>
                                  <w:divBdr>
                                    <w:top w:val="none" w:sz="0" w:space="0" w:color="auto"/>
                                    <w:left w:val="none" w:sz="0" w:space="0" w:color="auto"/>
                                    <w:bottom w:val="none" w:sz="0" w:space="0" w:color="auto"/>
                                    <w:right w:val="none" w:sz="0" w:space="0" w:color="auto"/>
                                  </w:divBdr>
                                </w:div>
                              </w:divsChild>
                            </w:div>
                            <w:div w:id="1347899078">
                              <w:marLeft w:val="0"/>
                              <w:marRight w:val="0"/>
                              <w:marTop w:val="0"/>
                              <w:marBottom w:val="0"/>
                              <w:divBdr>
                                <w:top w:val="none" w:sz="0" w:space="0" w:color="auto"/>
                                <w:left w:val="none" w:sz="0" w:space="0" w:color="auto"/>
                                <w:bottom w:val="none" w:sz="0" w:space="0" w:color="auto"/>
                                <w:right w:val="none" w:sz="0" w:space="0" w:color="auto"/>
                              </w:divBdr>
                              <w:divsChild>
                                <w:div w:id="1389694156">
                                  <w:marLeft w:val="0"/>
                                  <w:marRight w:val="0"/>
                                  <w:marTop w:val="0"/>
                                  <w:marBottom w:val="0"/>
                                  <w:divBdr>
                                    <w:top w:val="none" w:sz="0" w:space="0" w:color="auto"/>
                                    <w:left w:val="none" w:sz="0" w:space="0" w:color="auto"/>
                                    <w:bottom w:val="none" w:sz="0" w:space="0" w:color="auto"/>
                                    <w:right w:val="none" w:sz="0" w:space="0" w:color="auto"/>
                                  </w:divBdr>
                                </w:div>
                                <w:div w:id="1887180643">
                                  <w:marLeft w:val="0"/>
                                  <w:marRight w:val="0"/>
                                  <w:marTop w:val="0"/>
                                  <w:marBottom w:val="0"/>
                                  <w:divBdr>
                                    <w:top w:val="none" w:sz="0" w:space="0" w:color="auto"/>
                                    <w:left w:val="none" w:sz="0" w:space="0" w:color="auto"/>
                                    <w:bottom w:val="none" w:sz="0" w:space="0" w:color="auto"/>
                                    <w:right w:val="none" w:sz="0" w:space="0" w:color="auto"/>
                                  </w:divBdr>
                                </w:div>
                              </w:divsChild>
                            </w:div>
                            <w:div w:id="667365926">
                              <w:marLeft w:val="0"/>
                              <w:marRight w:val="0"/>
                              <w:marTop w:val="0"/>
                              <w:marBottom w:val="0"/>
                              <w:divBdr>
                                <w:top w:val="none" w:sz="0" w:space="0" w:color="auto"/>
                                <w:left w:val="none" w:sz="0" w:space="0" w:color="auto"/>
                                <w:bottom w:val="none" w:sz="0" w:space="0" w:color="auto"/>
                                <w:right w:val="none" w:sz="0" w:space="0" w:color="auto"/>
                              </w:divBdr>
                              <w:divsChild>
                                <w:div w:id="654115884">
                                  <w:marLeft w:val="0"/>
                                  <w:marRight w:val="0"/>
                                  <w:marTop w:val="0"/>
                                  <w:marBottom w:val="0"/>
                                  <w:divBdr>
                                    <w:top w:val="none" w:sz="0" w:space="0" w:color="auto"/>
                                    <w:left w:val="none" w:sz="0" w:space="0" w:color="auto"/>
                                    <w:bottom w:val="none" w:sz="0" w:space="0" w:color="auto"/>
                                    <w:right w:val="none" w:sz="0" w:space="0" w:color="auto"/>
                                  </w:divBdr>
                                </w:div>
                                <w:div w:id="428894954">
                                  <w:marLeft w:val="0"/>
                                  <w:marRight w:val="0"/>
                                  <w:marTop w:val="0"/>
                                  <w:marBottom w:val="0"/>
                                  <w:divBdr>
                                    <w:top w:val="none" w:sz="0" w:space="0" w:color="auto"/>
                                    <w:left w:val="none" w:sz="0" w:space="0" w:color="auto"/>
                                    <w:bottom w:val="none" w:sz="0" w:space="0" w:color="auto"/>
                                    <w:right w:val="none" w:sz="0" w:space="0" w:color="auto"/>
                                  </w:divBdr>
                                </w:div>
                              </w:divsChild>
                            </w:div>
                            <w:div w:id="673843681">
                              <w:marLeft w:val="0"/>
                              <w:marRight w:val="0"/>
                              <w:marTop w:val="0"/>
                              <w:marBottom w:val="0"/>
                              <w:divBdr>
                                <w:top w:val="none" w:sz="0" w:space="0" w:color="auto"/>
                                <w:left w:val="none" w:sz="0" w:space="0" w:color="auto"/>
                                <w:bottom w:val="none" w:sz="0" w:space="0" w:color="auto"/>
                                <w:right w:val="none" w:sz="0" w:space="0" w:color="auto"/>
                              </w:divBdr>
                              <w:divsChild>
                                <w:div w:id="1738286337">
                                  <w:marLeft w:val="0"/>
                                  <w:marRight w:val="0"/>
                                  <w:marTop w:val="0"/>
                                  <w:marBottom w:val="0"/>
                                  <w:divBdr>
                                    <w:top w:val="none" w:sz="0" w:space="0" w:color="auto"/>
                                    <w:left w:val="none" w:sz="0" w:space="0" w:color="auto"/>
                                    <w:bottom w:val="none" w:sz="0" w:space="0" w:color="auto"/>
                                    <w:right w:val="none" w:sz="0" w:space="0" w:color="auto"/>
                                  </w:divBdr>
                                </w:div>
                                <w:div w:id="1003778651">
                                  <w:marLeft w:val="0"/>
                                  <w:marRight w:val="0"/>
                                  <w:marTop w:val="0"/>
                                  <w:marBottom w:val="0"/>
                                  <w:divBdr>
                                    <w:top w:val="none" w:sz="0" w:space="0" w:color="auto"/>
                                    <w:left w:val="none" w:sz="0" w:space="0" w:color="auto"/>
                                    <w:bottom w:val="none" w:sz="0" w:space="0" w:color="auto"/>
                                    <w:right w:val="none" w:sz="0" w:space="0" w:color="auto"/>
                                  </w:divBdr>
                                </w:div>
                              </w:divsChild>
                            </w:div>
                            <w:div w:id="749808734">
                              <w:marLeft w:val="0"/>
                              <w:marRight w:val="0"/>
                              <w:marTop w:val="0"/>
                              <w:marBottom w:val="0"/>
                              <w:divBdr>
                                <w:top w:val="none" w:sz="0" w:space="0" w:color="auto"/>
                                <w:left w:val="none" w:sz="0" w:space="0" w:color="auto"/>
                                <w:bottom w:val="none" w:sz="0" w:space="0" w:color="auto"/>
                                <w:right w:val="none" w:sz="0" w:space="0" w:color="auto"/>
                              </w:divBdr>
                              <w:divsChild>
                                <w:div w:id="131100323">
                                  <w:marLeft w:val="0"/>
                                  <w:marRight w:val="0"/>
                                  <w:marTop w:val="0"/>
                                  <w:marBottom w:val="0"/>
                                  <w:divBdr>
                                    <w:top w:val="none" w:sz="0" w:space="0" w:color="auto"/>
                                    <w:left w:val="none" w:sz="0" w:space="0" w:color="auto"/>
                                    <w:bottom w:val="none" w:sz="0" w:space="0" w:color="auto"/>
                                    <w:right w:val="none" w:sz="0" w:space="0" w:color="auto"/>
                                  </w:divBdr>
                                </w:div>
                                <w:div w:id="455411083">
                                  <w:marLeft w:val="0"/>
                                  <w:marRight w:val="0"/>
                                  <w:marTop w:val="0"/>
                                  <w:marBottom w:val="0"/>
                                  <w:divBdr>
                                    <w:top w:val="none" w:sz="0" w:space="0" w:color="auto"/>
                                    <w:left w:val="none" w:sz="0" w:space="0" w:color="auto"/>
                                    <w:bottom w:val="none" w:sz="0" w:space="0" w:color="auto"/>
                                    <w:right w:val="none" w:sz="0" w:space="0" w:color="auto"/>
                                  </w:divBdr>
                                </w:div>
                              </w:divsChild>
                            </w:div>
                            <w:div w:id="1581061575">
                              <w:marLeft w:val="0"/>
                              <w:marRight w:val="0"/>
                              <w:marTop w:val="0"/>
                              <w:marBottom w:val="0"/>
                              <w:divBdr>
                                <w:top w:val="none" w:sz="0" w:space="0" w:color="auto"/>
                                <w:left w:val="none" w:sz="0" w:space="0" w:color="auto"/>
                                <w:bottom w:val="none" w:sz="0" w:space="0" w:color="auto"/>
                                <w:right w:val="none" w:sz="0" w:space="0" w:color="auto"/>
                              </w:divBdr>
                              <w:divsChild>
                                <w:div w:id="627322441">
                                  <w:marLeft w:val="0"/>
                                  <w:marRight w:val="0"/>
                                  <w:marTop w:val="0"/>
                                  <w:marBottom w:val="0"/>
                                  <w:divBdr>
                                    <w:top w:val="none" w:sz="0" w:space="0" w:color="auto"/>
                                    <w:left w:val="none" w:sz="0" w:space="0" w:color="auto"/>
                                    <w:bottom w:val="none" w:sz="0" w:space="0" w:color="auto"/>
                                    <w:right w:val="none" w:sz="0" w:space="0" w:color="auto"/>
                                  </w:divBdr>
                                </w:div>
                                <w:div w:id="808593737">
                                  <w:marLeft w:val="0"/>
                                  <w:marRight w:val="0"/>
                                  <w:marTop w:val="0"/>
                                  <w:marBottom w:val="0"/>
                                  <w:divBdr>
                                    <w:top w:val="none" w:sz="0" w:space="0" w:color="auto"/>
                                    <w:left w:val="none" w:sz="0" w:space="0" w:color="auto"/>
                                    <w:bottom w:val="none" w:sz="0" w:space="0" w:color="auto"/>
                                    <w:right w:val="none" w:sz="0" w:space="0" w:color="auto"/>
                                  </w:divBdr>
                                </w:div>
                              </w:divsChild>
                            </w:div>
                            <w:div w:id="2008249097">
                              <w:marLeft w:val="0"/>
                              <w:marRight w:val="0"/>
                              <w:marTop w:val="0"/>
                              <w:marBottom w:val="0"/>
                              <w:divBdr>
                                <w:top w:val="none" w:sz="0" w:space="0" w:color="auto"/>
                                <w:left w:val="none" w:sz="0" w:space="0" w:color="auto"/>
                                <w:bottom w:val="none" w:sz="0" w:space="0" w:color="auto"/>
                                <w:right w:val="none" w:sz="0" w:space="0" w:color="auto"/>
                              </w:divBdr>
                              <w:divsChild>
                                <w:div w:id="2001228804">
                                  <w:marLeft w:val="0"/>
                                  <w:marRight w:val="0"/>
                                  <w:marTop w:val="0"/>
                                  <w:marBottom w:val="0"/>
                                  <w:divBdr>
                                    <w:top w:val="none" w:sz="0" w:space="0" w:color="auto"/>
                                    <w:left w:val="none" w:sz="0" w:space="0" w:color="auto"/>
                                    <w:bottom w:val="none" w:sz="0" w:space="0" w:color="auto"/>
                                    <w:right w:val="none" w:sz="0" w:space="0" w:color="auto"/>
                                  </w:divBdr>
                                </w:div>
                                <w:div w:id="1065880673">
                                  <w:marLeft w:val="0"/>
                                  <w:marRight w:val="0"/>
                                  <w:marTop w:val="0"/>
                                  <w:marBottom w:val="0"/>
                                  <w:divBdr>
                                    <w:top w:val="none" w:sz="0" w:space="0" w:color="auto"/>
                                    <w:left w:val="none" w:sz="0" w:space="0" w:color="auto"/>
                                    <w:bottom w:val="none" w:sz="0" w:space="0" w:color="auto"/>
                                    <w:right w:val="none" w:sz="0" w:space="0" w:color="auto"/>
                                  </w:divBdr>
                                </w:div>
                              </w:divsChild>
                            </w:div>
                            <w:div w:id="1584757160">
                              <w:marLeft w:val="0"/>
                              <w:marRight w:val="0"/>
                              <w:marTop w:val="0"/>
                              <w:marBottom w:val="0"/>
                              <w:divBdr>
                                <w:top w:val="none" w:sz="0" w:space="0" w:color="auto"/>
                                <w:left w:val="none" w:sz="0" w:space="0" w:color="auto"/>
                                <w:bottom w:val="none" w:sz="0" w:space="0" w:color="auto"/>
                                <w:right w:val="none" w:sz="0" w:space="0" w:color="auto"/>
                              </w:divBdr>
                              <w:divsChild>
                                <w:div w:id="1477264916">
                                  <w:marLeft w:val="0"/>
                                  <w:marRight w:val="0"/>
                                  <w:marTop w:val="0"/>
                                  <w:marBottom w:val="0"/>
                                  <w:divBdr>
                                    <w:top w:val="none" w:sz="0" w:space="0" w:color="auto"/>
                                    <w:left w:val="none" w:sz="0" w:space="0" w:color="auto"/>
                                    <w:bottom w:val="none" w:sz="0" w:space="0" w:color="auto"/>
                                    <w:right w:val="none" w:sz="0" w:space="0" w:color="auto"/>
                                  </w:divBdr>
                                </w:div>
                                <w:div w:id="477067181">
                                  <w:marLeft w:val="0"/>
                                  <w:marRight w:val="0"/>
                                  <w:marTop w:val="0"/>
                                  <w:marBottom w:val="0"/>
                                  <w:divBdr>
                                    <w:top w:val="none" w:sz="0" w:space="0" w:color="auto"/>
                                    <w:left w:val="none" w:sz="0" w:space="0" w:color="auto"/>
                                    <w:bottom w:val="none" w:sz="0" w:space="0" w:color="auto"/>
                                    <w:right w:val="none" w:sz="0" w:space="0" w:color="auto"/>
                                  </w:divBdr>
                                </w:div>
                              </w:divsChild>
                            </w:div>
                            <w:div w:id="1886793948">
                              <w:marLeft w:val="0"/>
                              <w:marRight w:val="0"/>
                              <w:marTop w:val="0"/>
                              <w:marBottom w:val="0"/>
                              <w:divBdr>
                                <w:top w:val="none" w:sz="0" w:space="0" w:color="auto"/>
                                <w:left w:val="none" w:sz="0" w:space="0" w:color="auto"/>
                                <w:bottom w:val="none" w:sz="0" w:space="0" w:color="auto"/>
                                <w:right w:val="none" w:sz="0" w:space="0" w:color="auto"/>
                              </w:divBdr>
                              <w:divsChild>
                                <w:div w:id="1621111509">
                                  <w:marLeft w:val="0"/>
                                  <w:marRight w:val="0"/>
                                  <w:marTop w:val="0"/>
                                  <w:marBottom w:val="0"/>
                                  <w:divBdr>
                                    <w:top w:val="none" w:sz="0" w:space="0" w:color="auto"/>
                                    <w:left w:val="none" w:sz="0" w:space="0" w:color="auto"/>
                                    <w:bottom w:val="none" w:sz="0" w:space="0" w:color="auto"/>
                                    <w:right w:val="none" w:sz="0" w:space="0" w:color="auto"/>
                                  </w:divBdr>
                                </w:div>
                                <w:div w:id="898133580">
                                  <w:marLeft w:val="0"/>
                                  <w:marRight w:val="0"/>
                                  <w:marTop w:val="0"/>
                                  <w:marBottom w:val="0"/>
                                  <w:divBdr>
                                    <w:top w:val="none" w:sz="0" w:space="0" w:color="auto"/>
                                    <w:left w:val="none" w:sz="0" w:space="0" w:color="auto"/>
                                    <w:bottom w:val="none" w:sz="0" w:space="0" w:color="auto"/>
                                    <w:right w:val="none" w:sz="0" w:space="0" w:color="auto"/>
                                  </w:divBdr>
                                </w:div>
                              </w:divsChild>
                            </w:div>
                            <w:div w:id="1363356379">
                              <w:marLeft w:val="0"/>
                              <w:marRight w:val="0"/>
                              <w:marTop w:val="0"/>
                              <w:marBottom w:val="0"/>
                              <w:divBdr>
                                <w:top w:val="none" w:sz="0" w:space="0" w:color="auto"/>
                                <w:left w:val="none" w:sz="0" w:space="0" w:color="auto"/>
                                <w:bottom w:val="none" w:sz="0" w:space="0" w:color="auto"/>
                                <w:right w:val="none" w:sz="0" w:space="0" w:color="auto"/>
                              </w:divBdr>
                              <w:divsChild>
                                <w:div w:id="24789641">
                                  <w:marLeft w:val="0"/>
                                  <w:marRight w:val="0"/>
                                  <w:marTop w:val="0"/>
                                  <w:marBottom w:val="0"/>
                                  <w:divBdr>
                                    <w:top w:val="none" w:sz="0" w:space="0" w:color="auto"/>
                                    <w:left w:val="none" w:sz="0" w:space="0" w:color="auto"/>
                                    <w:bottom w:val="none" w:sz="0" w:space="0" w:color="auto"/>
                                    <w:right w:val="none" w:sz="0" w:space="0" w:color="auto"/>
                                  </w:divBdr>
                                </w:div>
                                <w:div w:id="207884578">
                                  <w:marLeft w:val="0"/>
                                  <w:marRight w:val="0"/>
                                  <w:marTop w:val="0"/>
                                  <w:marBottom w:val="0"/>
                                  <w:divBdr>
                                    <w:top w:val="none" w:sz="0" w:space="0" w:color="auto"/>
                                    <w:left w:val="none" w:sz="0" w:space="0" w:color="auto"/>
                                    <w:bottom w:val="none" w:sz="0" w:space="0" w:color="auto"/>
                                    <w:right w:val="none" w:sz="0" w:space="0" w:color="auto"/>
                                  </w:divBdr>
                                </w:div>
                              </w:divsChild>
                            </w:div>
                            <w:div w:id="1255480693">
                              <w:marLeft w:val="0"/>
                              <w:marRight w:val="0"/>
                              <w:marTop w:val="0"/>
                              <w:marBottom w:val="0"/>
                              <w:divBdr>
                                <w:top w:val="none" w:sz="0" w:space="0" w:color="auto"/>
                                <w:left w:val="none" w:sz="0" w:space="0" w:color="auto"/>
                                <w:bottom w:val="none" w:sz="0" w:space="0" w:color="auto"/>
                                <w:right w:val="none" w:sz="0" w:space="0" w:color="auto"/>
                              </w:divBdr>
                              <w:divsChild>
                                <w:div w:id="360476956">
                                  <w:marLeft w:val="0"/>
                                  <w:marRight w:val="0"/>
                                  <w:marTop w:val="0"/>
                                  <w:marBottom w:val="0"/>
                                  <w:divBdr>
                                    <w:top w:val="none" w:sz="0" w:space="0" w:color="auto"/>
                                    <w:left w:val="none" w:sz="0" w:space="0" w:color="auto"/>
                                    <w:bottom w:val="none" w:sz="0" w:space="0" w:color="auto"/>
                                    <w:right w:val="none" w:sz="0" w:space="0" w:color="auto"/>
                                  </w:divBdr>
                                </w:div>
                                <w:div w:id="1770733658">
                                  <w:marLeft w:val="0"/>
                                  <w:marRight w:val="0"/>
                                  <w:marTop w:val="0"/>
                                  <w:marBottom w:val="0"/>
                                  <w:divBdr>
                                    <w:top w:val="none" w:sz="0" w:space="0" w:color="auto"/>
                                    <w:left w:val="none" w:sz="0" w:space="0" w:color="auto"/>
                                    <w:bottom w:val="none" w:sz="0" w:space="0" w:color="auto"/>
                                    <w:right w:val="none" w:sz="0" w:space="0" w:color="auto"/>
                                  </w:divBdr>
                                </w:div>
                              </w:divsChild>
                            </w:div>
                            <w:div w:id="1378241822">
                              <w:marLeft w:val="0"/>
                              <w:marRight w:val="0"/>
                              <w:marTop w:val="0"/>
                              <w:marBottom w:val="0"/>
                              <w:divBdr>
                                <w:top w:val="none" w:sz="0" w:space="0" w:color="auto"/>
                                <w:left w:val="none" w:sz="0" w:space="0" w:color="auto"/>
                                <w:bottom w:val="none" w:sz="0" w:space="0" w:color="auto"/>
                                <w:right w:val="none" w:sz="0" w:space="0" w:color="auto"/>
                              </w:divBdr>
                              <w:divsChild>
                                <w:div w:id="421025350">
                                  <w:marLeft w:val="0"/>
                                  <w:marRight w:val="0"/>
                                  <w:marTop w:val="0"/>
                                  <w:marBottom w:val="0"/>
                                  <w:divBdr>
                                    <w:top w:val="none" w:sz="0" w:space="0" w:color="auto"/>
                                    <w:left w:val="none" w:sz="0" w:space="0" w:color="auto"/>
                                    <w:bottom w:val="none" w:sz="0" w:space="0" w:color="auto"/>
                                    <w:right w:val="none" w:sz="0" w:space="0" w:color="auto"/>
                                  </w:divBdr>
                                </w:div>
                                <w:div w:id="1315065630">
                                  <w:marLeft w:val="0"/>
                                  <w:marRight w:val="0"/>
                                  <w:marTop w:val="0"/>
                                  <w:marBottom w:val="0"/>
                                  <w:divBdr>
                                    <w:top w:val="none" w:sz="0" w:space="0" w:color="auto"/>
                                    <w:left w:val="none" w:sz="0" w:space="0" w:color="auto"/>
                                    <w:bottom w:val="none" w:sz="0" w:space="0" w:color="auto"/>
                                    <w:right w:val="none" w:sz="0" w:space="0" w:color="auto"/>
                                  </w:divBdr>
                                </w:div>
                              </w:divsChild>
                            </w:div>
                            <w:div w:id="2008902010">
                              <w:marLeft w:val="0"/>
                              <w:marRight w:val="0"/>
                              <w:marTop w:val="0"/>
                              <w:marBottom w:val="0"/>
                              <w:divBdr>
                                <w:top w:val="none" w:sz="0" w:space="0" w:color="auto"/>
                                <w:left w:val="none" w:sz="0" w:space="0" w:color="auto"/>
                                <w:bottom w:val="none" w:sz="0" w:space="0" w:color="auto"/>
                                <w:right w:val="none" w:sz="0" w:space="0" w:color="auto"/>
                              </w:divBdr>
                              <w:divsChild>
                                <w:div w:id="476728204">
                                  <w:marLeft w:val="0"/>
                                  <w:marRight w:val="0"/>
                                  <w:marTop w:val="0"/>
                                  <w:marBottom w:val="0"/>
                                  <w:divBdr>
                                    <w:top w:val="none" w:sz="0" w:space="0" w:color="auto"/>
                                    <w:left w:val="none" w:sz="0" w:space="0" w:color="auto"/>
                                    <w:bottom w:val="none" w:sz="0" w:space="0" w:color="auto"/>
                                    <w:right w:val="none" w:sz="0" w:space="0" w:color="auto"/>
                                  </w:divBdr>
                                </w:div>
                                <w:div w:id="1503080021">
                                  <w:marLeft w:val="0"/>
                                  <w:marRight w:val="0"/>
                                  <w:marTop w:val="0"/>
                                  <w:marBottom w:val="0"/>
                                  <w:divBdr>
                                    <w:top w:val="none" w:sz="0" w:space="0" w:color="auto"/>
                                    <w:left w:val="none" w:sz="0" w:space="0" w:color="auto"/>
                                    <w:bottom w:val="none" w:sz="0" w:space="0" w:color="auto"/>
                                    <w:right w:val="none" w:sz="0" w:space="0" w:color="auto"/>
                                  </w:divBdr>
                                </w:div>
                              </w:divsChild>
                            </w:div>
                            <w:div w:id="1489246995">
                              <w:marLeft w:val="0"/>
                              <w:marRight w:val="0"/>
                              <w:marTop w:val="0"/>
                              <w:marBottom w:val="0"/>
                              <w:divBdr>
                                <w:top w:val="none" w:sz="0" w:space="0" w:color="auto"/>
                                <w:left w:val="none" w:sz="0" w:space="0" w:color="auto"/>
                                <w:bottom w:val="none" w:sz="0" w:space="0" w:color="auto"/>
                                <w:right w:val="none" w:sz="0" w:space="0" w:color="auto"/>
                              </w:divBdr>
                              <w:divsChild>
                                <w:div w:id="593056866">
                                  <w:marLeft w:val="0"/>
                                  <w:marRight w:val="0"/>
                                  <w:marTop w:val="0"/>
                                  <w:marBottom w:val="0"/>
                                  <w:divBdr>
                                    <w:top w:val="none" w:sz="0" w:space="0" w:color="auto"/>
                                    <w:left w:val="none" w:sz="0" w:space="0" w:color="auto"/>
                                    <w:bottom w:val="none" w:sz="0" w:space="0" w:color="auto"/>
                                    <w:right w:val="none" w:sz="0" w:space="0" w:color="auto"/>
                                  </w:divBdr>
                                </w:div>
                                <w:div w:id="1422221835">
                                  <w:marLeft w:val="0"/>
                                  <w:marRight w:val="0"/>
                                  <w:marTop w:val="0"/>
                                  <w:marBottom w:val="0"/>
                                  <w:divBdr>
                                    <w:top w:val="none" w:sz="0" w:space="0" w:color="auto"/>
                                    <w:left w:val="none" w:sz="0" w:space="0" w:color="auto"/>
                                    <w:bottom w:val="none" w:sz="0" w:space="0" w:color="auto"/>
                                    <w:right w:val="none" w:sz="0" w:space="0" w:color="auto"/>
                                  </w:divBdr>
                                </w:div>
                              </w:divsChild>
                            </w:div>
                            <w:div w:id="802233555">
                              <w:marLeft w:val="0"/>
                              <w:marRight w:val="0"/>
                              <w:marTop w:val="0"/>
                              <w:marBottom w:val="0"/>
                              <w:divBdr>
                                <w:top w:val="none" w:sz="0" w:space="0" w:color="auto"/>
                                <w:left w:val="none" w:sz="0" w:space="0" w:color="auto"/>
                                <w:bottom w:val="none" w:sz="0" w:space="0" w:color="auto"/>
                                <w:right w:val="none" w:sz="0" w:space="0" w:color="auto"/>
                              </w:divBdr>
                              <w:divsChild>
                                <w:div w:id="806362722">
                                  <w:marLeft w:val="0"/>
                                  <w:marRight w:val="0"/>
                                  <w:marTop w:val="0"/>
                                  <w:marBottom w:val="0"/>
                                  <w:divBdr>
                                    <w:top w:val="none" w:sz="0" w:space="0" w:color="auto"/>
                                    <w:left w:val="none" w:sz="0" w:space="0" w:color="auto"/>
                                    <w:bottom w:val="none" w:sz="0" w:space="0" w:color="auto"/>
                                    <w:right w:val="none" w:sz="0" w:space="0" w:color="auto"/>
                                  </w:divBdr>
                                </w:div>
                              </w:divsChild>
                            </w:div>
                            <w:div w:id="675814316">
                              <w:marLeft w:val="0"/>
                              <w:marRight w:val="0"/>
                              <w:marTop w:val="0"/>
                              <w:marBottom w:val="0"/>
                              <w:divBdr>
                                <w:top w:val="none" w:sz="0" w:space="0" w:color="auto"/>
                                <w:left w:val="none" w:sz="0" w:space="0" w:color="auto"/>
                                <w:bottom w:val="none" w:sz="0" w:space="0" w:color="auto"/>
                                <w:right w:val="none" w:sz="0" w:space="0" w:color="auto"/>
                              </w:divBdr>
                              <w:divsChild>
                                <w:div w:id="1659918296">
                                  <w:marLeft w:val="0"/>
                                  <w:marRight w:val="0"/>
                                  <w:marTop w:val="0"/>
                                  <w:marBottom w:val="0"/>
                                  <w:divBdr>
                                    <w:top w:val="none" w:sz="0" w:space="0" w:color="auto"/>
                                    <w:left w:val="none" w:sz="0" w:space="0" w:color="auto"/>
                                    <w:bottom w:val="none" w:sz="0" w:space="0" w:color="auto"/>
                                    <w:right w:val="none" w:sz="0" w:space="0" w:color="auto"/>
                                  </w:divBdr>
                                </w:div>
                                <w:div w:id="766194599">
                                  <w:marLeft w:val="0"/>
                                  <w:marRight w:val="0"/>
                                  <w:marTop w:val="0"/>
                                  <w:marBottom w:val="0"/>
                                  <w:divBdr>
                                    <w:top w:val="none" w:sz="0" w:space="0" w:color="auto"/>
                                    <w:left w:val="none" w:sz="0" w:space="0" w:color="auto"/>
                                    <w:bottom w:val="none" w:sz="0" w:space="0" w:color="auto"/>
                                    <w:right w:val="none" w:sz="0" w:space="0" w:color="auto"/>
                                  </w:divBdr>
                                </w:div>
                              </w:divsChild>
                            </w:div>
                            <w:div w:id="1659840815">
                              <w:marLeft w:val="0"/>
                              <w:marRight w:val="0"/>
                              <w:marTop w:val="0"/>
                              <w:marBottom w:val="0"/>
                              <w:divBdr>
                                <w:top w:val="none" w:sz="0" w:space="0" w:color="auto"/>
                                <w:left w:val="none" w:sz="0" w:space="0" w:color="auto"/>
                                <w:bottom w:val="none" w:sz="0" w:space="0" w:color="auto"/>
                                <w:right w:val="none" w:sz="0" w:space="0" w:color="auto"/>
                              </w:divBdr>
                              <w:divsChild>
                                <w:div w:id="385573693">
                                  <w:marLeft w:val="0"/>
                                  <w:marRight w:val="0"/>
                                  <w:marTop w:val="0"/>
                                  <w:marBottom w:val="0"/>
                                  <w:divBdr>
                                    <w:top w:val="none" w:sz="0" w:space="0" w:color="auto"/>
                                    <w:left w:val="none" w:sz="0" w:space="0" w:color="auto"/>
                                    <w:bottom w:val="none" w:sz="0" w:space="0" w:color="auto"/>
                                    <w:right w:val="none" w:sz="0" w:space="0" w:color="auto"/>
                                  </w:divBdr>
                                </w:div>
                                <w:div w:id="1102185114">
                                  <w:marLeft w:val="0"/>
                                  <w:marRight w:val="0"/>
                                  <w:marTop w:val="0"/>
                                  <w:marBottom w:val="0"/>
                                  <w:divBdr>
                                    <w:top w:val="none" w:sz="0" w:space="0" w:color="auto"/>
                                    <w:left w:val="none" w:sz="0" w:space="0" w:color="auto"/>
                                    <w:bottom w:val="none" w:sz="0" w:space="0" w:color="auto"/>
                                    <w:right w:val="none" w:sz="0" w:space="0" w:color="auto"/>
                                  </w:divBdr>
                                </w:div>
                              </w:divsChild>
                            </w:div>
                            <w:div w:id="1804882381">
                              <w:marLeft w:val="0"/>
                              <w:marRight w:val="0"/>
                              <w:marTop w:val="0"/>
                              <w:marBottom w:val="0"/>
                              <w:divBdr>
                                <w:top w:val="none" w:sz="0" w:space="0" w:color="auto"/>
                                <w:left w:val="none" w:sz="0" w:space="0" w:color="auto"/>
                                <w:bottom w:val="none" w:sz="0" w:space="0" w:color="auto"/>
                                <w:right w:val="none" w:sz="0" w:space="0" w:color="auto"/>
                              </w:divBdr>
                              <w:divsChild>
                                <w:div w:id="2024552525">
                                  <w:marLeft w:val="0"/>
                                  <w:marRight w:val="0"/>
                                  <w:marTop w:val="0"/>
                                  <w:marBottom w:val="0"/>
                                  <w:divBdr>
                                    <w:top w:val="none" w:sz="0" w:space="0" w:color="auto"/>
                                    <w:left w:val="none" w:sz="0" w:space="0" w:color="auto"/>
                                    <w:bottom w:val="none" w:sz="0" w:space="0" w:color="auto"/>
                                    <w:right w:val="none" w:sz="0" w:space="0" w:color="auto"/>
                                  </w:divBdr>
                                </w:div>
                                <w:div w:id="1785925315">
                                  <w:marLeft w:val="0"/>
                                  <w:marRight w:val="0"/>
                                  <w:marTop w:val="0"/>
                                  <w:marBottom w:val="0"/>
                                  <w:divBdr>
                                    <w:top w:val="none" w:sz="0" w:space="0" w:color="auto"/>
                                    <w:left w:val="none" w:sz="0" w:space="0" w:color="auto"/>
                                    <w:bottom w:val="none" w:sz="0" w:space="0" w:color="auto"/>
                                    <w:right w:val="none" w:sz="0" w:space="0" w:color="auto"/>
                                  </w:divBdr>
                                </w:div>
                              </w:divsChild>
                            </w:div>
                            <w:div w:id="1414007282">
                              <w:marLeft w:val="0"/>
                              <w:marRight w:val="0"/>
                              <w:marTop w:val="0"/>
                              <w:marBottom w:val="0"/>
                              <w:divBdr>
                                <w:top w:val="none" w:sz="0" w:space="0" w:color="auto"/>
                                <w:left w:val="none" w:sz="0" w:space="0" w:color="auto"/>
                                <w:bottom w:val="none" w:sz="0" w:space="0" w:color="auto"/>
                                <w:right w:val="none" w:sz="0" w:space="0" w:color="auto"/>
                              </w:divBdr>
                              <w:divsChild>
                                <w:div w:id="1464730073">
                                  <w:marLeft w:val="0"/>
                                  <w:marRight w:val="0"/>
                                  <w:marTop w:val="0"/>
                                  <w:marBottom w:val="0"/>
                                  <w:divBdr>
                                    <w:top w:val="none" w:sz="0" w:space="0" w:color="auto"/>
                                    <w:left w:val="none" w:sz="0" w:space="0" w:color="auto"/>
                                    <w:bottom w:val="none" w:sz="0" w:space="0" w:color="auto"/>
                                    <w:right w:val="none" w:sz="0" w:space="0" w:color="auto"/>
                                  </w:divBdr>
                                </w:div>
                                <w:div w:id="1691450709">
                                  <w:marLeft w:val="0"/>
                                  <w:marRight w:val="0"/>
                                  <w:marTop w:val="0"/>
                                  <w:marBottom w:val="0"/>
                                  <w:divBdr>
                                    <w:top w:val="none" w:sz="0" w:space="0" w:color="auto"/>
                                    <w:left w:val="none" w:sz="0" w:space="0" w:color="auto"/>
                                    <w:bottom w:val="none" w:sz="0" w:space="0" w:color="auto"/>
                                    <w:right w:val="none" w:sz="0" w:space="0" w:color="auto"/>
                                  </w:divBdr>
                                </w:div>
                              </w:divsChild>
                            </w:div>
                            <w:div w:id="1989161944">
                              <w:marLeft w:val="0"/>
                              <w:marRight w:val="0"/>
                              <w:marTop w:val="0"/>
                              <w:marBottom w:val="0"/>
                              <w:divBdr>
                                <w:top w:val="none" w:sz="0" w:space="0" w:color="auto"/>
                                <w:left w:val="none" w:sz="0" w:space="0" w:color="auto"/>
                                <w:bottom w:val="none" w:sz="0" w:space="0" w:color="auto"/>
                                <w:right w:val="none" w:sz="0" w:space="0" w:color="auto"/>
                              </w:divBdr>
                              <w:divsChild>
                                <w:div w:id="400521139">
                                  <w:marLeft w:val="0"/>
                                  <w:marRight w:val="0"/>
                                  <w:marTop w:val="0"/>
                                  <w:marBottom w:val="0"/>
                                  <w:divBdr>
                                    <w:top w:val="none" w:sz="0" w:space="0" w:color="auto"/>
                                    <w:left w:val="none" w:sz="0" w:space="0" w:color="auto"/>
                                    <w:bottom w:val="none" w:sz="0" w:space="0" w:color="auto"/>
                                    <w:right w:val="none" w:sz="0" w:space="0" w:color="auto"/>
                                  </w:divBdr>
                                </w:div>
                                <w:div w:id="1268922989">
                                  <w:marLeft w:val="0"/>
                                  <w:marRight w:val="0"/>
                                  <w:marTop w:val="0"/>
                                  <w:marBottom w:val="0"/>
                                  <w:divBdr>
                                    <w:top w:val="none" w:sz="0" w:space="0" w:color="auto"/>
                                    <w:left w:val="none" w:sz="0" w:space="0" w:color="auto"/>
                                    <w:bottom w:val="none" w:sz="0" w:space="0" w:color="auto"/>
                                    <w:right w:val="none" w:sz="0" w:space="0" w:color="auto"/>
                                  </w:divBdr>
                                </w:div>
                              </w:divsChild>
                            </w:div>
                            <w:div w:id="394741158">
                              <w:marLeft w:val="0"/>
                              <w:marRight w:val="0"/>
                              <w:marTop w:val="0"/>
                              <w:marBottom w:val="0"/>
                              <w:divBdr>
                                <w:top w:val="none" w:sz="0" w:space="0" w:color="auto"/>
                                <w:left w:val="none" w:sz="0" w:space="0" w:color="auto"/>
                                <w:bottom w:val="none" w:sz="0" w:space="0" w:color="auto"/>
                                <w:right w:val="none" w:sz="0" w:space="0" w:color="auto"/>
                              </w:divBdr>
                              <w:divsChild>
                                <w:div w:id="160629090">
                                  <w:marLeft w:val="0"/>
                                  <w:marRight w:val="0"/>
                                  <w:marTop w:val="0"/>
                                  <w:marBottom w:val="0"/>
                                  <w:divBdr>
                                    <w:top w:val="none" w:sz="0" w:space="0" w:color="auto"/>
                                    <w:left w:val="none" w:sz="0" w:space="0" w:color="auto"/>
                                    <w:bottom w:val="none" w:sz="0" w:space="0" w:color="auto"/>
                                    <w:right w:val="none" w:sz="0" w:space="0" w:color="auto"/>
                                  </w:divBdr>
                                </w:div>
                                <w:div w:id="239951946">
                                  <w:marLeft w:val="0"/>
                                  <w:marRight w:val="0"/>
                                  <w:marTop w:val="0"/>
                                  <w:marBottom w:val="0"/>
                                  <w:divBdr>
                                    <w:top w:val="none" w:sz="0" w:space="0" w:color="auto"/>
                                    <w:left w:val="none" w:sz="0" w:space="0" w:color="auto"/>
                                    <w:bottom w:val="none" w:sz="0" w:space="0" w:color="auto"/>
                                    <w:right w:val="none" w:sz="0" w:space="0" w:color="auto"/>
                                  </w:divBdr>
                                </w:div>
                              </w:divsChild>
                            </w:div>
                            <w:div w:id="1613315606">
                              <w:marLeft w:val="0"/>
                              <w:marRight w:val="0"/>
                              <w:marTop w:val="0"/>
                              <w:marBottom w:val="0"/>
                              <w:divBdr>
                                <w:top w:val="none" w:sz="0" w:space="0" w:color="auto"/>
                                <w:left w:val="none" w:sz="0" w:space="0" w:color="auto"/>
                                <w:bottom w:val="none" w:sz="0" w:space="0" w:color="auto"/>
                                <w:right w:val="none" w:sz="0" w:space="0" w:color="auto"/>
                              </w:divBdr>
                              <w:divsChild>
                                <w:div w:id="2113699610">
                                  <w:marLeft w:val="0"/>
                                  <w:marRight w:val="0"/>
                                  <w:marTop w:val="0"/>
                                  <w:marBottom w:val="0"/>
                                  <w:divBdr>
                                    <w:top w:val="none" w:sz="0" w:space="0" w:color="auto"/>
                                    <w:left w:val="none" w:sz="0" w:space="0" w:color="auto"/>
                                    <w:bottom w:val="none" w:sz="0" w:space="0" w:color="auto"/>
                                    <w:right w:val="none" w:sz="0" w:space="0" w:color="auto"/>
                                  </w:divBdr>
                                </w:div>
                                <w:div w:id="951015296">
                                  <w:marLeft w:val="0"/>
                                  <w:marRight w:val="0"/>
                                  <w:marTop w:val="0"/>
                                  <w:marBottom w:val="0"/>
                                  <w:divBdr>
                                    <w:top w:val="none" w:sz="0" w:space="0" w:color="auto"/>
                                    <w:left w:val="none" w:sz="0" w:space="0" w:color="auto"/>
                                    <w:bottom w:val="none" w:sz="0" w:space="0" w:color="auto"/>
                                    <w:right w:val="none" w:sz="0" w:space="0" w:color="auto"/>
                                  </w:divBdr>
                                </w:div>
                              </w:divsChild>
                            </w:div>
                            <w:div w:id="493224709">
                              <w:marLeft w:val="0"/>
                              <w:marRight w:val="0"/>
                              <w:marTop w:val="0"/>
                              <w:marBottom w:val="0"/>
                              <w:divBdr>
                                <w:top w:val="none" w:sz="0" w:space="0" w:color="auto"/>
                                <w:left w:val="none" w:sz="0" w:space="0" w:color="auto"/>
                                <w:bottom w:val="none" w:sz="0" w:space="0" w:color="auto"/>
                                <w:right w:val="none" w:sz="0" w:space="0" w:color="auto"/>
                              </w:divBdr>
                              <w:divsChild>
                                <w:div w:id="2087144412">
                                  <w:marLeft w:val="0"/>
                                  <w:marRight w:val="0"/>
                                  <w:marTop w:val="0"/>
                                  <w:marBottom w:val="0"/>
                                  <w:divBdr>
                                    <w:top w:val="none" w:sz="0" w:space="0" w:color="auto"/>
                                    <w:left w:val="none" w:sz="0" w:space="0" w:color="auto"/>
                                    <w:bottom w:val="none" w:sz="0" w:space="0" w:color="auto"/>
                                    <w:right w:val="none" w:sz="0" w:space="0" w:color="auto"/>
                                  </w:divBdr>
                                </w:div>
                                <w:div w:id="1679111933">
                                  <w:marLeft w:val="0"/>
                                  <w:marRight w:val="0"/>
                                  <w:marTop w:val="0"/>
                                  <w:marBottom w:val="0"/>
                                  <w:divBdr>
                                    <w:top w:val="none" w:sz="0" w:space="0" w:color="auto"/>
                                    <w:left w:val="none" w:sz="0" w:space="0" w:color="auto"/>
                                    <w:bottom w:val="none" w:sz="0" w:space="0" w:color="auto"/>
                                    <w:right w:val="none" w:sz="0" w:space="0" w:color="auto"/>
                                  </w:divBdr>
                                </w:div>
                              </w:divsChild>
                            </w:div>
                            <w:div w:id="93210633">
                              <w:marLeft w:val="0"/>
                              <w:marRight w:val="0"/>
                              <w:marTop w:val="0"/>
                              <w:marBottom w:val="0"/>
                              <w:divBdr>
                                <w:top w:val="none" w:sz="0" w:space="0" w:color="auto"/>
                                <w:left w:val="none" w:sz="0" w:space="0" w:color="auto"/>
                                <w:bottom w:val="none" w:sz="0" w:space="0" w:color="auto"/>
                                <w:right w:val="none" w:sz="0" w:space="0" w:color="auto"/>
                              </w:divBdr>
                              <w:divsChild>
                                <w:div w:id="1713575194">
                                  <w:marLeft w:val="0"/>
                                  <w:marRight w:val="0"/>
                                  <w:marTop w:val="0"/>
                                  <w:marBottom w:val="0"/>
                                  <w:divBdr>
                                    <w:top w:val="none" w:sz="0" w:space="0" w:color="auto"/>
                                    <w:left w:val="none" w:sz="0" w:space="0" w:color="auto"/>
                                    <w:bottom w:val="none" w:sz="0" w:space="0" w:color="auto"/>
                                    <w:right w:val="none" w:sz="0" w:space="0" w:color="auto"/>
                                  </w:divBdr>
                                </w:div>
                                <w:div w:id="392778738">
                                  <w:marLeft w:val="0"/>
                                  <w:marRight w:val="0"/>
                                  <w:marTop w:val="0"/>
                                  <w:marBottom w:val="0"/>
                                  <w:divBdr>
                                    <w:top w:val="none" w:sz="0" w:space="0" w:color="auto"/>
                                    <w:left w:val="none" w:sz="0" w:space="0" w:color="auto"/>
                                    <w:bottom w:val="none" w:sz="0" w:space="0" w:color="auto"/>
                                    <w:right w:val="none" w:sz="0" w:space="0" w:color="auto"/>
                                  </w:divBdr>
                                </w:div>
                              </w:divsChild>
                            </w:div>
                            <w:div w:id="1032000426">
                              <w:marLeft w:val="0"/>
                              <w:marRight w:val="0"/>
                              <w:marTop w:val="0"/>
                              <w:marBottom w:val="0"/>
                              <w:divBdr>
                                <w:top w:val="none" w:sz="0" w:space="0" w:color="auto"/>
                                <w:left w:val="none" w:sz="0" w:space="0" w:color="auto"/>
                                <w:bottom w:val="none" w:sz="0" w:space="0" w:color="auto"/>
                                <w:right w:val="none" w:sz="0" w:space="0" w:color="auto"/>
                              </w:divBdr>
                              <w:divsChild>
                                <w:div w:id="507061226">
                                  <w:marLeft w:val="0"/>
                                  <w:marRight w:val="0"/>
                                  <w:marTop w:val="0"/>
                                  <w:marBottom w:val="0"/>
                                  <w:divBdr>
                                    <w:top w:val="none" w:sz="0" w:space="0" w:color="auto"/>
                                    <w:left w:val="none" w:sz="0" w:space="0" w:color="auto"/>
                                    <w:bottom w:val="none" w:sz="0" w:space="0" w:color="auto"/>
                                    <w:right w:val="none" w:sz="0" w:space="0" w:color="auto"/>
                                  </w:divBdr>
                                </w:div>
                                <w:div w:id="1559782458">
                                  <w:marLeft w:val="0"/>
                                  <w:marRight w:val="0"/>
                                  <w:marTop w:val="0"/>
                                  <w:marBottom w:val="0"/>
                                  <w:divBdr>
                                    <w:top w:val="none" w:sz="0" w:space="0" w:color="auto"/>
                                    <w:left w:val="none" w:sz="0" w:space="0" w:color="auto"/>
                                    <w:bottom w:val="none" w:sz="0" w:space="0" w:color="auto"/>
                                    <w:right w:val="none" w:sz="0" w:space="0" w:color="auto"/>
                                  </w:divBdr>
                                </w:div>
                              </w:divsChild>
                            </w:div>
                            <w:div w:id="5179337">
                              <w:marLeft w:val="0"/>
                              <w:marRight w:val="0"/>
                              <w:marTop w:val="0"/>
                              <w:marBottom w:val="0"/>
                              <w:divBdr>
                                <w:top w:val="none" w:sz="0" w:space="0" w:color="auto"/>
                                <w:left w:val="none" w:sz="0" w:space="0" w:color="auto"/>
                                <w:bottom w:val="none" w:sz="0" w:space="0" w:color="auto"/>
                                <w:right w:val="none" w:sz="0" w:space="0" w:color="auto"/>
                              </w:divBdr>
                              <w:divsChild>
                                <w:div w:id="1773667031">
                                  <w:marLeft w:val="0"/>
                                  <w:marRight w:val="0"/>
                                  <w:marTop w:val="0"/>
                                  <w:marBottom w:val="0"/>
                                  <w:divBdr>
                                    <w:top w:val="none" w:sz="0" w:space="0" w:color="auto"/>
                                    <w:left w:val="none" w:sz="0" w:space="0" w:color="auto"/>
                                    <w:bottom w:val="none" w:sz="0" w:space="0" w:color="auto"/>
                                    <w:right w:val="none" w:sz="0" w:space="0" w:color="auto"/>
                                  </w:divBdr>
                                </w:div>
                              </w:divsChild>
                            </w:div>
                            <w:div w:id="752316995">
                              <w:marLeft w:val="0"/>
                              <w:marRight w:val="0"/>
                              <w:marTop w:val="0"/>
                              <w:marBottom w:val="0"/>
                              <w:divBdr>
                                <w:top w:val="none" w:sz="0" w:space="0" w:color="auto"/>
                                <w:left w:val="none" w:sz="0" w:space="0" w:color="auto"/>
                                <w:bottom w:val="none" w:sz="0" w:space="0" w:color="auto"/>
                                <w:right w:val="none" w:sz="0" w:space="0" w:color="auto"/>
                              </w:divBdr>
                              <w:divsChild>
                                <w:div w:id="705177137">
                                  <w:marLeft w:val="0"/>
                                  <w:marRight w:val="0"/>
                                  <w:marTop w:val="0"/>
                                  <w:marBottom w:val="0"/>
                                  <w:divBdr>
                                    <w:top w:val="none" w:sz="0" w:space="0" w:color="auto"/>
                                    <w:left w:val="none" w:sz="0" w:space="0" w:color="auto"/>
                                    <w:bottom w:val="none" w:sz="0" w:space="0" w:color="auto"/>
                                    <w:right w:val="none" w:sz="0" w:space="0" w:color="auto"/>
                                  </w:divBdr>
                                </w:div>
                                <w:div w:id="1080785906">
                                  <w:marLeft w:val="0"/>
                                  <w:marRight w:val="0"/>
                                  <w:marTop w:val="0"/>
                                  <w:marBottom w:val="0"/>
                                  <w:divBdr>
                                    <w:top w:val="none" w:sz="0" w:space="0" w:color="auto"/>
                                    <w:left w:val="none" w:sz="0" w:space="0" w:color="auto"/>
                                    <w:bottom w:val="none" w:sz="0" w:space="0" w:color="auto"/>
                                    <w:right w:val="none" w:sz="0" w:space="0" w:color="auto"/>
                                  </w:divBdr>
                                </w:div>
                              </w:divsChild>
                            </w:div>
                            <w:div w:id="418451878">
                              <w:marLeft w:val="0"/>
                              <w:marRight w:val="0"/>
                              <w:marTop w:val="0"/>
                              <w:marBottom w:val="0"/>
                              <w:divBdr>
                                <w:top w:val="none" w:sz="0" w:space="0" w:color="auto"/>
                                <w:left w:val="none" w:sz="0" w:space="0" w:color="auto"/>
                                <w:bottom w:val="none" w:sz="0" w:space="0" w:color="auto"/>
                                <w:right w:val="none" w:sz="0" w:space="0" w:color="auto"/>
                              </w:divBdr>
                              <w:divsChild>
                                <w:div w:id="349257308">
                                  <w:marLeft w:val="0"/>
                                  <w:marRight w:val="0"/>
                                  <w:marTop w:val="0"/>
                                  <w:marBottom w:val="0"/>
                                  <w:divBdr>
                                    <w:top w:val="none" w:sz="0" w:space="0" w:color="auto"/>
                                    <w:left w:val="none" w:sz="0" w:space="0" w:color="auto"/>
                                    <w:bottom w:val="none" w:sz="0" w:space="0" w:color="auto"/>
                                    <w:right w:val="none" w:sz="0" w:space="0" w:color="auto"/>
                                  </w:divBdr>
                                </w:div>
                                <w:div w:id="1611812116">
                                  <w:marLeft w:val="0"/>
                                  <w:marRight w:val="0"/>
                                  <w:marTop w:val="0"/>
                                  <w:marBottom w:val="0"/>
                                  <w:divBdr>
                                    <w:top w:val="none" w:sz="0" w:space="0" w:color="auto"/>
                                    <w:left w:val="none" w:sz="0" w:space="0" w:color="auto"/>
                                    <w:bottom w:val="none" w:sz="0" w:space="0" w:color="auto"/>
                                    <w:right w:val="none" w:sz="0" w:space="0" w:color="auto"/>
                                  </w:divBdr>
                                </w:div>
                              </w:divsChild>
                            </w:div>
                            <w:div w:id="1345132800">
                              <w:marLeft w:val="0"/>
                              <w:marRight w:val="0"/>
                              <w:marTop w:val="0"/>
                              <w:marBottom w:val="0"/>
                              <w:divBdr>
                                <w:top w:val="none" w:sz="0" w:space="0" w:color="auto"/>
                                <w:left w:val="none" w:sz="0" w:space="0" w:color="auto"/>
                                <w:bottom w:val="none" w:sz="0" w:space="0" w:color="auto"/>
                                <w:right w:val="none" w:sz="0" w:space="0" w:color="auto"/>
                              </w:divBdr>
                              <w:divsChild>
                                <w:div w:id="720639731">
                                  <w:marLeft w:val="0"/>
                                  <w:marRight w:val="0"/>
                                  <w:marTop w:val="0"/>
                                  <w:marBottom w:val="0"/>
                                  <w:divBdr>
                                    <w:top w:val="none" w:sz="0" w:space="0" w:color="auto"/>
                                    <w:left w:val="none" w:sz="0" w:space="0" w:color="auto"/>
                                    <w:bottom w:val="none" w:sz="0" w:space="0" w:color="auto"/>
                                    <w:right w:val="none" w:sz="0" w:space="0" w:color="auto"/>
                                  </w:divBdr>
                                </w:div>
                                <w:div w:id="116802223">
                                  <w:marLeft w:val="0"/>
                                  <w:marRight w:val="0"/>
                                  <w:marTop w:val="0"/>
                                  <w:marBottom w:val="0"/>
                                  <w:divBdr>
                                    <w:top w:val="none" w:sz="0" w:space="0" w:color="auto"/>
                                    <w:left w:val="none" w:sz="0" w:space="0" w:color="auto"/>
                                    <w:bottom w:val="none" w:sz="0" w:space="0" w:color="auto"/>
                                    <w:right w:val="none" w:sz="0" w:space="0" w:color="auto"/>
                                  </w:divBdr>
                                </w:div>
                              </w:divsChild>
                            </w:div>
                            <w:div w:id="1980186243">
                              <w:marLeft w:val="0"/>
                              <w:marRight w:val="0"/>
                              <w:marTop w:val="0"/>
                              <w:marBottom w:val="0"/>
                              <w:divBdr>
                                <w:top w:val="none" w:sz="0" w:space="0" w:color="auto"/>
                                <w:left w:val="none" w:sz="0" w:space="0" w:color="auto"/>
                                <w:bottom w:val="none" w:sz="0" w:space="0" w:color="auto"/>
                                <w:right w:val="none" w:sz="0" w:space="0" w:color="auto"/>
                              </w:divBdr>
                              <w:divsChild>
                                <w:div w:id="726414488">
                                  <w:marLeft w:val="0"/>
                                  <w:marRight w:val="0"/>
                                  <w:marTop w:val="0"/>
                                  <w:marBottom w:val="0"/>
                                  <w:divBdr>
                                    <w:top w:val="none" w:sz="0" w:space="0" w:color="auto"/>
                                    <w:left w:val="none" w:sz="0" w:space="0" w:color="auto"/>
                                    <w:bottom w:val="none" w:sz="0" w:space="0" w:color="auto"/>
                                    <w:right w:val="none" w:sz="0" w:space="0" w:color="auto"/>
                                  </w:divBdr>
                                </w:div>
                                <w:div w:id="852259040">
                                  <w:marLeft w:val="0"/>
                                  <w:marRight w:val="0"/>
                                  <w:marTop w:val="0"/>
                                  <w:marBottom w:val="0"/>
                                  <w:divBdr>
                                    <w:top w:val="none" w:sz="0" w:space="0" w:color="auto"/>
                                    <w:left w:val="none" w:sz="0" w:space="0" w:color="auto"/>
                                    <w:bottom w:val="none" w:sz="0" w:space="0" w:color="auto"/>
                                    <w:right w:val="none" w:sz="0" w:space="0" w:color="auto"/>
                                  </w:divBdr>
                                </w:div>
                              </w:divsChild>
                            </w:div>
                            <w:div w:id="127358130">
                              <w:marLeft w:val="0"/>
                              <w:marRight w:val="0"/>
                              <w:marTop w:val="0"/>
                              <w:marBottom w:val="0"/>
                              <w:divBdr>
                                <w:top w:val="none" w:sz="0" w:space="0" w:color="auto"/>
                                <w:left w:val="none" w:sz="0" w:space="0" w:color="auto"/>
                                <w:bottom w:val="none" w:sz="0" w:space="0" w:color="auto"/>
                                <w:right w:val="none" w:sz="0" w:space="0" w:color="auto"/>
                              </w:divBdr>
                              <w:divsChild>
                                <w:div w:id="959603637">
                                  <w:marLeft w:val="0"/>
                                  <w:marRight w:val="0"/>
                                  <w:marTop w:val="0"/>
                                  <w:marBottom w:val="0"/>
                                  <w:divBdr>
                                    <w:top w:val="none" w:sz="0" w:space="0" w:color="auto"/>
                                    <w:left w:val="none" w:sz="0" w:space="0" w:color="auto"/>
                                    <w:bottom w:val="none" w:sz="0" w:space="0" w:color="auto"/>
                                    <w:right w:val="none" w:sz="0" w:space="0" w:color="auto"/>
                                  </w:divBdr>
                                </w:div>
                                <w:div w:id="1223296217">
                                  <w:marLeft w:val="0"/>
                                  <w:marRight w:val="0"/>
                                  <w:marTop w:val="0"/>
                                  <w:marBottom w:val="0"/>
                                  <w:divBdr>
                                    <w:top w:val="none" w:sz="0" w:space="0" w:color="auto"/>
                                    <w:left w:val="none" w:sz="0" w:space="0" w:color="auto"/>
                                    <w:bottom w:val="none" w:sz="0" w:space="0" w:color="auto"/>
                                    <w:right w:val="none" w:sz="0" w:space="0" w:color="auto"/>
                                  </w:divBdr>
                                </w:div>
                              </w:divsChild>
                            </w:div>
                            <w:div w:id="582450208">
                              <w:marLeft w:val="0"/>
                              <w:marRight w:val="0"/>
                              <w:marTop w:val="0"/>
                              <w:marBottom w:val="0"/>
                              <w:divBdr>
                                <w:top w:val="none" w:sz="0" w:space="0" w:color="auto"/>
                                <w:left w:val="none" w:sz="0" w:space="0" w:color="auto"/>
                                <w:bottom w:val="none" w:sz="0" w:space="0" w:color="auto"/>
                                <w:right w:val="none" w:sz="0" w:space="0" w:color="auto"/>
                              </w:divBdr>
                              <w:divsChild>
                                <w:div w:id="1077051210">
                                  <w:marLeft w:val="0"/>
                                  <w:marRight w:val="0"/>
                                  <w:marTop w:val="0"/>
                                  <w:marBottom w:val="0"/>
                                  <w:divBdr>
                                    <w:top w:val="none" w:sz="0" w:space="0" w:color="auto"/>
                                    <w:left w:val="none" w:sz="0" w:space="0" w:color="auto"/>
                                    <w:bottom w:val="none" w:sz="0" w:space="0" w:color="auto"/>
                                    <w:right w:val="none" w:sz="0" w:space="0" w:color="auto"/>
                                  </w:divBdr>
                                </w:div>
                                <w:div w:id="1817455923">
                                  <w:marLeft w:val="0"/>
                                  <w:marRight w:val="0"/>
                                  <w:marTop w:val="0"/>
                                  <w:marBottom w:val="0"/>
                                  <w:divBdr>
                                    <w:top w:val="none" w:sz="0" w:space="0" w:color="auto"/>
                                    <w:left w:val="none" w:sz="0" w:space="0" w:color="auto"/>
                                    <w:bottom w:val="none" w:sz="0" w:space="0" w:color="auto"/>
                                    <w:right w:val="none" w:sz="0" w:space="0" w:color="auto"/>
                                  </w:divBdr>
                                </w:div>
                              </w:divsChild>
                            </w:div>
                            <w:div w:id="379399786">
                              <w:marLeft w:val="0"/>
                              <w:marRight w:val="0"/>
                              <w:marTop w:val="0"/>
                              <w:marBottom w:val="0"/>
                              <w:divBdr>
                                <w:top w:val="none" w:sz="0" w:space="0" w:color="auto"/>
                                <w:left w:val="none" w:sz="0" w:space="0" w:color="auto"/>
                                <w:bottom w:val="none" w:sz="0" w:space="0" w:color="auto"/>
                                <w:right w:val="none" w:sz="0" w:space="0" w:color="auto"/>
                              </w:divBdr>
                              <w:divsChild>
                                <w:div w:id="393312402">
                                  <w:marLeft w:val="0"/>
                                  <w:marRight w:val="0"/>
                                  <w:marTop w:val="0"/>
                                  <w:marBottom w:val="0"/>
                                  <w:divBdr>
                                    <w:top w:val="none" w:sz="0" w:space="0" w:color="auto"/>
                                    <w:left w:val="none" w:sz="0" w:space="0" w:color="auto"/>
                                    <w:bottom w:val="none" w:sz="0" w:space="0" w:color="auto"/>
                                    <w:right w:val="none" w:sz="0" w:space="0" w:color="auto"/>
                                  </w:divBdr>
                                </w:div>
                                <w:div w:id="928588466">
                                  <w:marLeft w:val="0"/>
                                  <w:marRight w:val="0"/>
                                  <w:marTop w:val="0"/>
                                  <w:marBottom w:val="0"/>
                                  <w:divBdr>
                                    <w:top w:val="none" w:sz="0" w:space="0" w:color="auto"/>
                                    <w:left w:val="none" w:sz="0" w:space="0" w:color="auto"/>
                                    <w:bottom w:val="none" w:sz="0" w:space="0" w:color="auto"/>
                                    <w:right w:val="none" w:sz="0" w:space="0" w:color="auto"/>
                                  </w:divBdr>
                                </w:div>
                              </w:divsChild>
                            </w:div>
                            <w:div w:id="2084714341">
                              <w:marLeft w:val="0"/>
                              <w:marRight w:val="0"/>
                              <w:marTop w:val="0"/>
                              <w:marBottom w:val="0"/>
                              <w:divBdr>
                                <w:top w:val="none" w:sz="0" w:space="0" w:color="auto"/>
                                <w:left w:val="none" w:sz="0" w:space="0" w:color="auto"/>
                                <w:bottom w:val="none" w:sz="0" w:space="0" w:color="auto"/>
                                <w:right w:val="none" w:sz="0" w:space="0" w:color="auto"/>
                              </w:divBdr>
                              <w:divsChild>
                                <w:div w:id="460809596">
                                  <w:marLeft w:val="0"/>
                                  <w:marRight w:val="0"/>
                                  <w:marTop w:val="0"/>
                                  <w:marBottom w:val="0"/>
                                  <w:divBdr>
                                    <w:top w:val="none" w:sz="0" w:space="0" w:color="auto"/>
                                    <w:left w:val="none" w:sz="0" w:space="0" w:color="auto"/>
                                    <w:bottom w:val="none" w:sz="0" w:space="0" w:color="auto"/>
                                    <w:right w:val="none" w:sz="0" w:space="0" w:color="auto"/>
                                  </w:divBdr>
                                </w:div>
                              </w:divsChild>
                            </w:div>
                            <w:div w:id="1655379393">
                              <w:marLeft w:val="0"/>
                              <w:marRight w:val="0"/>
                              <w:marTop w:val="0"/>
                              <w:marBottom w:val="0"/>
                              <w:divBdr>
                                <w:top w:val="none" w:sz="0" w:space="0" w:color="auto"/>
                                <w:left w:val="none" w:sz="0" w:space="0" w:color="auto"/>
                                <w:bottom w:val="none" w:sz="0" w:space="0" w:color="auto"/>
                                <w:right w:val="none" w:sz="0" w:space="0" w:color="auto"/>
                              </w:divBdr>
                              <w:divsChild>
                                <w:div w:id="1206985531">
                                  <w:marLeft w:val="0"/>
                                  <w:marRight w:val="0"/>
                                  <w:marTop w:val="0"/>
                                  <w:marBottom w:val="0"/>
                                  <w:divBdr>
                                    <w:top w:val="none" w:sz="0" w:space="0" w:color="auto"/>
                                    <w:left w:val="none" w:sz="0" w:space="0" w:color="auto"/>
                                    <w:bottom w:val="none" w:sz="0" w:space="0" w:color="auto"/>
                                    <w:right w:val="none" w:sz="0" w:space="0" w:color="auto"/>
                                  </w:divBdr>
                                </w:div>
                                <w:div w:id="433479879">
                                  <w:marLeft w:val="0"/>
                                  <w:marRight w:val="0"/>
                                  <w:marTop w:val="0"/>
                                  <w:marBottom w:val="0"/>
                                  <w:divBdr>
                                    <w:top w:val="none" w:sz="0" w:space="0" w:color="auto"/>
                                    <w:left w:val="none" w:sz="0" w:space="0" w:color="auto"/>
                                    <w:bottom w:val="none" w:sz="0" w:space="0" w:color="auto"/>
                                    <w:right w:val="none" w:sz="0" w:space="0" w:color="auto"/>
                                  </w:divBdr>
                                </w:div>
                              </w:divsChild>
                            </w:div>
                            <w:div w:id="695271497">
                              <w:marLeft w:val="0"/>
                              <w:marRight w:val="0"/>
                              <w:marTop w:val="0"/>
                              <w:marBottom w:val="0"/>
                              <w:divBdr>
                                <w:top w:val="none" w:sz="0" w:space="0" w:color="auto"/>
                                <w:left w:val="none" w:sz="0" w:space="0" w:color="auto"/>
                                <w:bottom w:val="none" w:sz="0" w:space="0" w:color="auto"/>
                                <w:right w:val="none" w:sz="0" w:space="0" w:color="auto"/>
                              </w:divBdr>
                              <w:divsChild>
                                <w:div w:id="190457403">
                                  <w:marLeft w:val="0"/>
                                  <w:marRight w:val="0"/>
                                  <w:marTop w:val="0"/>
                                  <w:marBottom w:val="0"/>
                                  <w:divBdr>
                                    <w:top w:val="none" w:sz="0" w:space="0" w:color="auto"/>
                                    <w:left w:val="none" w:sz="0" w:space="0" w:color="auto"/>
                                    <w:bottom w:val="none" w:sz="0" w:space="0" w:color="auto"/>
                                    <w:right w:val="none" w:sz="0" w:space="0" w:color="auto"/>
                                  </w:divBdr>
                                </w:div>
                                <w:div w:id="668486379">
                                  <w:marLeft w:val="0"/>
                                  <w:marRight w:val="0"/>
                                  <w:marTop w:val="0"/>
                                  <w:marBottom w:val="0"/>
                                  <w:divBdr>
                                    <w:top w:val="none" w:sz="0" w:space="0" w:color="auto"/>
                                    <w:left w:val="none" w:sz="0" w:space="0" w:color="auto"/>
                                    <w:bottom w:val="none" w:sz="0" w:space="0" w:color="auto"/>
                                    <w:right w:val="none" w:sz="0" w:space="0" w:color="auto"/>
                                  </w:divBdr>
                                </w:div>
                              </w:divsChild>
                            </w:div>
                            <w:div w:id="1630471825">
                              <w:marLeft w:val="0"/>
                              <w:marRight w:val="0"/>
                              <w:marTop w:val="0"/>
                              <w:marBottom w:val="0"/>
                              <w:divBdr>
                                <w:top w:val="none" w:sz="0" w:space="0" w:color="auto"/>
                                <w:left w:val="none" w:sz="0" w:space="0" w:color="auto"/>
                                <w:bottom w:val="none" w:sz="0" w:space="0" w:color="auto"/>
                                <w:right w:val="none" w:sz="0" w:space="0" w:color="auto"/>
                              </w:divBdr>
                              <w:divsChild>
                                <w:div w:id="2092267231">
                                  <w:marLeft w:val="0"/>
                                  <w:marRight w:val="0"/>
                                  <w:marTop w:val="0"/>
                                  <w:marBottom w:val="0"/>
                                  <w:divBdr>
                                    <w:top w:val="none" w:sz="0" w:space="0" w:color="auto"/>
                                    <w:left w:val="none" w:sz="0" w:space="0" w:color="auto"/>
                                    <w:bottom w:val="none" w:sz="0" w:space="0" w:color="auto"/>
                                    <w:right w:val="none" w:sz="0" w:space="0" w:color="auto"/>
                                  </w:divBdr>
                                </w:div>
                                <w:div w:id="2072848696">
                                  <w:marLeft w:val="0"/>
                                  <w:marRight w:val="0"/>
                                  <w:marTop w:val="0"/>
                                  <w:marBottom w:val="0"/>
                                  <w:divBdr>
                                    <w:top w:val="none" w:sz="0" w:space="0" w:color="auto"/>
                                    <w:left w:val="none" w:sz="0" w:space="0" w:color="auto"/>
                                    <w:bottom w:val="none" w:sz="0" w:space="0" w:color="auto"/>
                                    <w:right w:val="none" w:sz="0" w:space="0" w:color="auto"/>
                                  </w:divBdr>
                                </w:div>
                              </w:divsChild>
                            </w:div>
                            <w:div w:id="875580588">
                              <w:marLeft w:val="0"/>
                              <w:marRight w:val="0"/>
                              <w:marTop w:val="0"/>
                              <w:marBottom w:val="0"/>
                              <w:divBdr>
                                <w:top w:val="none" w:sz="0" w:space="0" w:color="auto"/>
                                <w:left w:val="none" w:sz="0" w:space="0" w:color="auto"/>
                                <w:bottom w:val="none" w:sz="0" w:space="0" w:color="auto"/>
                                <w:right w:val="none" w:sz="0" w:space="0" w:color="auto"/>
                              </w:divBdr>
                              <w:divsChild>
                                <w:div w:id="1750805759">
                                  <w:marLeft w:val="0"/>
                                  <w:marRight w:val="0"/>
                                  <w:marTop w:val="0"/>
                                  <w:marBottom w:val="0"/>
                                  <w:divBdr>
                                    <w:top w:val="none" w:sz="0" w:space="0" w:color="auto"/>
                                    <w:left w:val="none" w:sz="0" w:space="0" w:color="auto"/>
                                    <w:bottom w:val="none" w:sz="0" w:space="0" w:color="auto"/>
                                    <w:right w:val="none" w:sz="0" w:space="0" w:color="auto"/>
                                  </w:divBdr>
                                </w:div>
                                <w:div w:id="1407917279">
                                  <w:marLeft w:val="0"/>
                                  <w:marRight w:val="0"/>
                                  <w:marTop w:val="0"/>
                                  <w:marBottom w:val="0"/>
                                  <w:divBdr>
                                    <w:top w:val="none" w:sz="0" w:space="0" w:color="auto"/>
                                    <w:left w:val="none" w:sz="0" w:space="0" w:color="auto"/>
                                    <w:bottom w:val="none" w:sz="0" w:space="0" w:color="auto"/>
                                    <w:right w:val="none" w:sz="0" w:space="0" w:color="auto"/>
                                  </w:divBdr>
                                </w:div>
                              </w:divsChild>
                            </w:div>
                            <w:div w:id="183059241">
                              <w:marLeft w:val="0"/>
                              <w:marRight w:val="0"/>
                              <w:marTop w:val="0"/>
                              <w:marBottom w:val="0"/>
                              <w:divBdr>
                                <w:top w:val="none" w:sz="0" w:space="0" w:color="auto"/>
                                <w:left w:val="none" w:sz="0" w:space="0" w:color="auto"/>
                                <w:bottom w:val="none" w:sz="0" w:space="0" w:color="auto"/>
                                <w:right w:val="none" w:sz="0" w:space="0" w:color="auto"/>
                              </w:divBdr>
                              <w:divsChild>
                                <w:div w:id="57365633">
                                  <w:marLeft w:val="0"/>
                                  <w:marRight w:val="0"/>
                                  <w:marTop w:val="0"/>
                                  <w:marBottom w:val="0"/>
                                  <w:divBdr>
                                    <w:top w:val="none" w:sz="0" w:space="0" w:color="auto"/>
                                    <w:left w:val="none" w:sz="0" w:space="0" w:color="auto"/>
                                    <w:bottom w:val="none" w:sz="0" w:space="0" w:color="auto"/>
                                    <w:right w:val="none" w:sz="0" w:space="0" w:color="auto"/>
                                  </w:divBdr>
                                </w:div>
                                <w:div w:id="191722724">
                                  <w:marLeft w:val="0"/>
                                  <w:marRight w:val="0"/>
                                  <w:marTop w:val="0"/>
                                  <w:marBottom w:val="0"/>
                                  <w:divBdr>
                                    <w:top w:val="none" w:sz="0" w:space="0" w:color="auto"/>
                                    <w:left w:val="none" w:sz="0" w:space="0" w:color="auto"/>
                                    <w:bottom w:val="none" w:sz="0" w:space="0" w:color="auto"/>
                                    <w:right w:val="none" w:sz="0" w:space="0" w:color="auto"/>
                                  </w:divBdr>
                                </w:div>
                              </w:divsChild>
                            </w:div>
                            <w:div w:id="1456407282">
                              <w:marLeft w:val="0"/>
                              <w:marRight w:val="0"/>
                              <w:marTop w:val="0"/>
                              <w:marBottom w:val="0"/>
                              <w:divBdr>
                                <w:top w:val="none" w:sz="0" w:space="0" w:color="auto"/>
                                <w:left w:val="none" w:sz="0" w:space="0" w:color="auto"/>
                                <w:bottom w:val="none" w:sz="0" w:space="0" w:color="auto"/>
                                <w:right w:val="none" w:sz="0" w:space="0" w:color="auto"/>
                              </w:divBdr>
                              <w:divsChild>
                                <w:div w:id="617300428">
                                  <w:marLeft w:val="0"/>
                                  <w:marRight w:val="0"/>
                                  <w:marTop w:val="0"/>
                                  <w:marBottom w:val="0"/>
                                  <w:divBdr>
                                    <w:top w:val="none" w:sz="0" w:space="0" w:color="auto"/>
                                    <w:left w:val="none" w:sz="0" w:space="0" w:color="auto"/>
                                    <w:bottom w:val="none" w:sz="0" w:space="0" w:color="auto"/>
                                    <w:right w:val="none" w:sz="0" w:space="0" w:color="auto"/>
                                  </w:divBdr>
                                </w:div>
                              </w:divsChild>
                            </w:div>
                            <w:div w:id="1498031699">
                              <w:marLeft w:val="0"/>
                              <w:marRight w:val="0"/>
                              <w:marTop w:val="0"/>
                              <w:marBottom w:val="0"/>
                              <w:divBdr>
                                <w:top w:val="none" w:sz="0" w:space="0" w:color="auto"/>
                                <w:left w:val="none" w:sz="0" w:space="0" w:color="auto"/>
                                <w:bottom w:val="none" w:sz="0" w:space="0" w:color="auto"/>
                                <w:right w:val="none" w:sz="0" w:space="0" w:color="auto"/>
                              </w:divBdr>
                              <w:divsChild>
                                <w:div w:id="1963995385">
                                  <w:marLeft w:val="0"/>
                                  <w:marRight w:val="0"/>
                                  <w:marTop w:val="0"/>
                                  <w:marBottom w:val="0"/>
                                  <w:divBdr>
                                    <w:top w:val="none" w:sz="0" w:space="0" w:color="auto"/>
                                    <w:left w:val="none" w:sz="0" w:space="0" w:color="auto"/>
                                    <w:bottom w:val="none" w:sz="0" w:space="0" w:color="auto"/>
                                    <w:right w:val="none" w:sz="0" w:space="0" w:color="auto"/>
                                  </w:divBdr>
                                </w:div>
                                <w:div w:id="1368723896">
                                  <w:marLeft w:val="0"/>
                                  <w:marRight w:val="0"/>
                                  <w:marTop w:val="0"/>
                                  <w:marBottom w:val="0"/>
                                  <w:divBdr>
                                    <w:top w:val="none" w:sz="0" w:space="0" w:color="auto"/>
                                    <w:left w:val="none" w:sz="0" w:space="0" w:color="auto"/>
                                    <w:bottom w:val="none" w:sz="0" w:space="0" w:color="auto"/>
                                    <w:right w:val="none" w:sz="0" w:space="0" w:color="auto"/>
                                  </w:divBdr>
                                </w:div>
                              </w:divsChild>
                            </w:div>
                            <w:div w:id="27529691">
                              <w:marLeft w:val="0"/>
                              <w:marRight w:val="0"/>
                              <w:marTop w:val="0"/>
                              <w:marBottom w:val="0"/>
                              <w:divBdr>
                                <w:top w:val="none" w:sz="0" w:space="0" w:color="auto"/>
                                <w:left w:val="none" w:sz="0" w:space="0" w:color="auto"/>
                                <w:bottom w:val="none" w:sz="0" w:space="0" w:color="auto"/>
                                <w:right w:val="none" w:sz="0" w:space="0" w:color="auto"/>
                              </w:divBdr>
                              <w:divsChild>
                                <w:div w:id="1068382482">
                                  <w:marLeft w:val="0"/>
                                  <w:marRight w:val="0"/>
                                  <w:marTop w:val="0"/>
                                  <w:marBottom w:val="0"/>
                                  <w:divBdr>
                                    <w:top w:val="none" w:sz="0" w:space="0" w:color="auto"/>
                                    <w:left w:val="none" w:sz="0" w:space="0" w:color="auto"/>
                                    <w:bottom w:val="none" w:sz="0" w:space="0" w:color="auto"/>
                                    <w:right w:val="none" w:sz="0" w:space="0" w:color="auto"/>
                                  </w:divBdr>
                                </w:div>
                              </w:divsChild>
                            </w:div>
                            <w:div w:id="1752119597">
                              <w:marLeft w:val="0"/>
                              <w:marRight w:val="0"/>
                              <w:marTop w:val="0"/>
                              <w:marBottom w:val="0"/>
                              <w:divBdr>
                                <w:top w:val="none" w:sz="0" w:space="0" w:color="auto"/>
                                <w:left w:val="none" w:sz="0" w:space="0" w:color="auto"/>
                                <w:bottom w:val="none" w:sz="0" w:space="0" w:color="auto"/>
                                <w:right w:val="none" w:sz="0" w:space="0" w:color="auto"/>
                              </w:divBdr>
                              <w:divsChild>
                                <w:div w:id="429392113">
                                  <w:marLeft w:val="0"/>
                                  <w:marRight w:val="0"/>
                                  <w:marTop w:val="0"/>
                                  <w:marBottom w:val="0"/>
                                  <w:divBdr>
                                    <w:top w:val="none" w:sz="0" w:space="0" w:color="auto"/>
                                    <w:left w:val="none" w:sz="0" w:space="0" w:color="auto"/>
                                    <w:bottom w:val="none" w:sz="0" w:space="0" w:color="auto"/>
                                    <w:right w:val="none" w:sz="0" w:space="0" w:color="auto"/>
                                  </w:divBdr>
                                </w:div>
                                <w:div w:id="387608169">
                                  <w:marLeft w:val="0"/>
                                  <w:marRight w:val="0"/>
                                  <w:marTop w:val="0"/>
                                  <w:marBottom w:val="0"/>
                                  <w:divBdr>
                                    <w:top w:val="none" w:sz="0" w:space="0" w:color="auto"/>
                                    <w:left w:val="none" w:sz="0" w:space="0" w:color="auto"/>
                                    <w:bottom w:val="none" w:sz="0" w:space="0" w:color="auto"/>
                                    <w:right w:val="none" w:sz="0" w:space="0" w:color="auto"/>
                                  </w:divBdr>
                                </w:div>
                              </w:divsChild>
                            </w:div>
                            <w:div w:id="149911825">
                              <w:marLeft w:val="0"/>
                              <w:marRight w:val="0"/>
                              <w:marTop w:val="0"/>
                              <w:marBottom w:val="0"/>
                              <w:divBdr>
                                <w:top w:val="none" w:sz="0" w:space="0" w:color="auto"/>
                                <w:left w:val="none" w:sz="0" w:space="0" w:color="auto"/>
                                <w:bottom w:val="none" w:sz="0" w:space="0" w:color="auto"/>
                                <w:right w:val="none" w:sz="0" w:space="0" w:color="auto"/>
                              </w:divBdr>
                              <w:divsChild>
                                <w:div w:id="429401276">
                                  <w:marLeft w:val="0"/>
                                  <w:marRight w:val="0"/>
                                  <w:marTop w:val="0"/>
                                  <w:marBottom w:val="0"/>
                                  <w:divBdr>
                                    <w:top w:val="none" w:sz="0" w:space="0" w:color="auto"/>
                                    <w:left w:val="none" w:sz="0" w:space="0" w:color="auto"/>
                                    <w:bottom w:val="none" w:sz="0" w:space="0" w:color="auto"/>
                                    <w:right w:val="none" w:sz="0" w:space="0" w:color="auto"/>
                                  </w:divBdr>
                                </w:div>
                                <w:div w:id="1525941469">
                                  <w:marLeft w:val="0"/>
                                  <w:marRight w:val="0"/>
                                  <w:marTop w:val="0"/>
                                  <w:marBottom w:val="0"/>
                                  <w:divBdr>
                                    <w:top w:val="none" w:sz="0" w:space="0" w:color="auto"/>
                                    <w:left w:val="none" w:sz="0" w:space="0" w:color="auto"/>
                                    <w:bottom w:val="none" w:sz="0" w:space="0" w:color="auto"/>
                                    <w:right w:val="none" w:sz="0" w:space="0" w:color="auto"/>
                                  </w:divBdr>
                                </w:div>
                              </w:divsChild>
                            </w:div>
                            <w:div w:id="2050642620">
                              <w:marLeft w:val="0"/>
                              <w:marRight w:val="0"/>
                              <w:marTop w:val="0"/>
                              <w:marBottom w:val="0"/>
                              <w:divBdr>
                                <w:top w:val="none" w:sz="0" w:space="0" w:color="auto"/>
                                <w:left w:val="none" w:sz="0" w:space="0" w:color="auto"/>
                                <w:bottom w:val="none" w:sz="0" w:space="0" w:color="auto"/>
                                <w:right w:val="none" w:sz="0" w:space="0" w:color="auto"/>
                              </w:divBdr>
                              <w:divsChild>
                                <w:div w:id="547497690">
                                  <w:marLeft w:val="0"/>
                                  <w:marRight w:val="0"/>
                                  <w:marTop w:val="0"/>
                                  <w:marBottom w:val="0"/>
                                  <w:divBdr>
                                    <w:top w:val="none" w:sz="0" w:space="0" w:color="auto"/>
                                    <w:left w:val="none" w:sz="0" w:space="0" w:color="auto"/>
                                    <w:bottom w:val="none" w:sz="0" w:space="0" w:color="auto"/>
                                    <w:right w:val="none" w:sz="0" w:space="0" w:color="auto"/>
                                  </w:divBdr>
                                </w:div>
                                <w:div w:id="2102725602">
                                  <w:marLeft w:val="0"/>
                                  <w:marRight w:val="0"/>
                                  <w:marTop w:val="0"/>
                                  <w:marBottom w:val="0"/>
                                  <w:divBdr>
                                    <w:top w:val="none" w:sz="0" w:space="0" w:color="auto"/>
                                    <w:left w:val="none" w:sz="0" w:space="0" w:color="auto"/>
                                    <w:bottom w:val="none" w:sz="0" w:space="0" w:color="auto"/>
                                    <w:right w:val="none" w:sz="0" w:space="0" w:color="auto"/>
                                  </w:divBdr>
                                </w:div>
                              </w:divsChild>
                            </w:div>
                            <w:div w:id="1516458768">
                              <w:marLeft w:val="0"/>
                              <w:marRight w:val="0"/>
                              <w:marTop w:val="0"/>
                              <w:marBottom w:val="0"/>
                              <w:divBdr>
                                <w:top w:val="none" w:sz="0" w:space="0" w:color="auto"/>
                                <w:left w:val="none" w:sz="0" w:space="0" w:color="auto"/>
                                <w:bottom w:val="none" w:sz="0" w:space="0" w:color="auto"/>
                                <w:right w:val="none" w:sz="0" w:space="0" w:color="auto"/>
                              </w:divBdr>
                              <w:divsChild>
                                <w:div w:id="607812419">
                                  <w:marLeft w:val="0"/>
                                  <w:marRight w:val="0"/>
                                  <w:marTop w:val="0"/>
                                  <w:marBottom w:val="0"/>
                                  <w:divBdr>
                                    <w:top w:val="none" w:sz="0" w:space="0" w:color="auto"/>
                                    <w:left w:val="none" w:sz="0" w:space="0" w:color="auto"/>
                                    <w:bottom w:val="none" w:sz="0" w:space="0" w:color="auto"/>
                                    <w:right w:val="none" w:sz="0" w:space="0" w:color="auto"/>
                                  </w:divBdr>
                                </w:div>
                              </w:divsChild>
                            </w:div>
                            <w:div w:id="402680731">
                              <w:marLeft w:val="0"/>
                              <w:marRight w:val="0"/>
                              <w:marTop w:val="0"/>
                              <w:marBottom w:val="0"/>
                              <w:divBdr>
                                <w:top w:val="none" w:sz="0" w:space="0" w:color="auto"/>
                                <w:left w:val="none" w:sz="0" w:space="0" w:color="auto"/>
                                <w:bottom w:val="none" w:sz="0" w:space="0" w:color="auto"/>
                                <w:right w:val="none" w:sz="0" w:space="0" w:color="auto"/>
                              </w:divBdr>
                              <w:divsChild>
                                <w:div w:id="860975070">
                                  <w:marLeft w:val="0"/>
                                  <w:marRight w:val="0"/>
                                  <w:marTop w:val="0"/>
                                  <w:marBottom w:val="0"/>
                                  <w:divBdr>
                                    <w:top w:val="none" w:sz="0" w:space="0" w:color="auto"/>
                                    <w:left w:val="none" w:sz="0" w:space="0" w:color="auto"/>
                                    <w:bottom w:val="none" w:sz="0" w:space="0" w:color="auto"/>
                                    <w:right w:val="none" w:sz="0" w:space="0" w:color="auto"/>
                                  </w:divBdr>
                                </w:div>
                                <w:div w:id="1148129432">
                                  <w:marLeft w:val="0"/>
                                  <w:marRight w:val="0"/>
                                  <w:marTop w:val="0"/>
                                  <w:marBottom w:val="0"/>
                                  <w:divBdr>
                                    <w:top w:val="none" w:sz="0" w:space="0" w:color="auto"/>
                                    <w:left w:val="none" w:sz="0" w:space="0" w:color="auto"/>
                                    <w:bottom w:val="none" w:sz="0" w:space="0" w:color="auto"/>
                                    <w:right w:val="none" w:sz="0" w:space="0" w:color="auto"/>
                                  </w:divBdr>
                                </w:div>
                              </w:divsChild>
                            </w:div>
                            <w:div w:id="394014715">
                              <w:marLeft w:val="0"/>
                              <w:marRight w:val="0"/>
                              <w:marTop w:val="0"/>
                              <w:marBottom w:val="0"/>
                              <w:divBdr>
                                <w:top w:val="none" w:sz="0" w:space="0" w:color="auto"/>
                                <w:left w:val="none" w:sz="0" w:space="0" w:color="auto"/>
                                <w:bottom w:val="none" w:sz="0" w:space="0" w:color="auto"/>
                                <w:right w:val="none" w:sz="0" w:space="0" w:color="auto"/>
                              </w:divBdr>
                              <w:divsChild>
                                <w:div w:id="1169056957">
                                  <w:marLeft w:val="0"/>
                                  <w:marRight w:val="0"/>
                                  <w:marTop w:val="0"/>
                                  <w:marBottom w:val="0"/>
                                  <w:divBdr>
                                    <w:top w:val="none" w:sz="0" w:space="0" w:color="auto"/>
                                    <w:left w:val="none" w:sz="0" w:space="0" w:color="auto"/>
                                    <w:bottom w:val="none" w:sz="0" w:space="0" w:color="auto"/>
                                    <w:right w:val="none" w:sz="0" w:space="0" w:color="auto"/>
                                  </w:divBdr>
                                </w:div>
                                <w:div w:id="1255868477">
                                  <w:marLeft w:val="0"/>
                                  <w:marRight w:val="0"/>
                                  <w:marTop w:val="0"/>
                                  <w:marBottom w:val="0"/>
                                  <w:divBdr>
                                    <w:top w:val="none" w:sz="0" w:space="0" w:color="auto"/>
                                    <w:left w:val="none" w:sz="0" w:space="0" w:color="auto"/>
                                    <w:bottom w:val="none" w:sz="0" w:space="0" w:color="auto"/>
                                    <w:right w:val="none" w:sz="0" w:space="0" w:color="auto"/>
                                  </w:divBdr>
                                </w:div>
                              </w:divsChild>
                            </w:div>
                            <w:div w:id="1908765745">
                              <w:marLeft w:val="0"/>
                              <w:marRight w:val="0"/>
                              <w:marTop w:val="0"/>
                              <w:marBottom w:val="0"/>
                              <w:divBdr>
                                <w:top w:val="none" w:sz="0" w:space="0" w:color="auto"/>
                                <w:left w:val="none" w:sz="0" w:space="0" w:color="auto"/>
                                <w:bottom w:val="none" w:sz="0" w:space="0" w:color="auto"/>
                                <w:right w:val="none" w:sz="0" w:space="0" w:color="auto"/>
                              </w:divBdr>
                              <w:divsChild>
                                <w:div w:id="1059866675">
                                  <w:marLeft w:val="0"/>
                                  <w:marRight w:val="0"/>
                                  <w:marTop w:val="0"/>
                                  <w:marBottom w:val="0"/>
                                  <w:divBdr>
                                    <w:top w:val="none" w:sz="0" w:space="0" w:color="auto"/>
                                    <w:left w:val="none" w:sz="0" w:space="0" w:color="auto"/>
                                    <w:bottom w:val="none" w:sz="0" w:space="0" w:color="auto"/>
                                    <w:right w:val="none" w:sz="0" w:space="0" w:color="auto"/>
                                  </w:divBdr>
                                </w:div>
                                <w:div w:id="1644043609">
                                  <w:marLeft w:val="0"/>
                                  <w:marRight w:val="0"/>
                                  <w:marTop w:val="0"/>
                                  <w:marBottom w:val="0"/>
                                  <w:divBdr>
                                    <w:top w:val="none" w:sz="0" w:space="0" w:color="auto"/>
                                    <w:left w:val="none" w:sz="0" w:space="0" w:color="auto"/>
                                    <w:bottom w:val="none" w:sz="0" w:space="0" w:color="auto"/>
                                    <w:right w:val="none" w:sz="0" w:space="0" w:color="auto"/>
                                  </w:divBdr>
                                </w:div>
                              </w:divsChild>
                            </w:div>
                            <w:div w:id="1931155596">
                              <w:marLeft w:val="0"/>
                              <w:marRight w:val="0"/>
                              <w:marTop w:val="0"/>
                              <w:marBottom w:val="0"/>
                              <w:divBdr>
                                <w:top w:val="none" w:sz="0" w:space="0" w:color="auto"/>
                                <w:left w:val="none" w:sz="0" w:space="0" w:color="auto"/>
                                <w:bottom w:val="none" w:sz="0" w:space="0" w:color="auto"/>
                                <w:right w:val="none" w:sz="0" w:space="0" w:color="auto"/>
                              </w:divBdr>
                              <w:divsChild>
                                <w:div w:id="629435593">
                                  <w:marLeft w:val="0"/>
                                  <w:marRight w:val="0"/>
                                  <w:marTop w:val="0"/>
                                  <w:marBottom w:val="0"/>
                                  <w:divBdr>
                                    <w:top w:val="none" w:sz="0" w:space="0" w:color="auto"/>
                                    <w:left w:val="none" w:sz="0" w:space="0" w:color="auto"/>
                                    <w:bottom w:val="none" w:sz="0" w:space="0" w:color="auto"/>
                                    <w:right w:val="none" w:sz="0" w:space="0" w:color="auto"/>
                                  </w:divBdr>
                                </w:div>
                                <w:div w:id="1891917687">
                                  <w:marLeft w:val="0"/>
                                  <w:marRight w:val="0"/>
                                  <w:marTop w:val="0"/>
                                  <w:marBottom w:val="0"/>
                                  <w:divBdr>
                                    <w:top w:val="none" w:sz="0" w:space="0" w:color="auto"/>
                                    <w:left w:val="none" w:sz="0" w:space="0" w:color="auto"/>
                                    <w:bottom w:val="none" w:sz="0" w:space="0" w:color="auto"/>
                                    <w:right w:val="none" w:sz="0" w:space="0" w:color="auto"/>
                                  </w:divBdr>
                                </w:div>
                              </w:divsChild>
                            </w:div>
                            <w:div w:id="938677258">
                              <w:marLeft w:val="0"/>
                              <w:marRight w:val="0"/>
                              <w:marTop w:val="0"/>
                              <w:marBottom w:val="0"/>
                              <w:divBdr>
                                <w:top w:val="none" w:sz="0" w:space="0" w:color="auto"/>
                                <w:left w:val="none" w:sz="0" w:space="0" w:color="auto"/>
                                <w:bottom w:val="none" w:sz="0" w:space="0" w:color="auto"/>
                                <w:right w:val="none" w:sz="0" w:space="0" w:color="auto"/>
                              </w:divBdr>
                              <w:divsChild>
                                <w:div w:id="1218323022">
                                  <w:marLeft w:val="0"/>
                                  <w:marRight w:val="0"/>
                                  <w:marTop w:val="0"/>
                                  <w:marBottom w:val="0"/>
                                  <w:divBdr>
                                    <w:top w:val="none" w:sz="0" w:space="0" w:color="auto"/>
                                    <w:left w:val="none" w:sz="0" w:space="0" w:color="auto"/>
                                    <w:bottom w:val="none" w:sz="0" w:space="0" w:color="auto"/>
                                    <w:right w:val="none" w:sz="0" w:space="0" w:color="auto"/>
                                  </w:divBdr>
                                </w:div>
                                <w:div w:id="687373085">
                                  <w:marLeft w:val="0"/>
                                  <w:marRight w:val="0"/>
                                  <w:marTop w:val="0"/>
                                  <w:marBottom w:val="0"/>
                                  <w:divBdr>
                                    <w:top w:val="none" w:sz="0" w:space="0" w:color="auto"/>
                                    <w:left w:val="none" w:sz="0" w:space="0" w:color="auto"/>
                                    <w:bottom w:val="none" w:sz="0" w:space="0" w:color="auto"/>
                                    <w:right w:val="none" w:sz="0" w:space="0" w:color="auto"/>
                                  </w:divBdr>
                                </w:div>
                              </w:divsChild>
                            </w:div>
                            <w:div w:id="1546135451">
                              <w:marLeft w:val="0"/>
                              <w:marRight w:val="0"/>
                              <w:marTop w:val="0"/>
                              <w:marBottom w:val="0"/>
                              <w:divBdr>
                                <w:top w:val="none" w:sz="0" w:space="0" w:color="auto"/>
                                <w:left w:val="none" w:sz="0" w:space="0" w:color="auto"/>
                                <w:bottom w:val="none" w:sz="0" w:space="0" w:color="auto"/>
                                <w:right w:val="none" w:sz="0" w:space="0" w:color="auto"/>
                              </w:divBdr>
                              <w:divsChild>
                                <w:div w:id="1432706651">
                                  <w:marLeft w:val="0"/>
                                  <w:marRight w:val="0"/>
                                  <w:marTop w:val="0"/>
                                  <w:marBottom w:val="0"/>
                                  <w:divBdr>
                                    <w:top w:val="none" w:sz="0" w:space="0" w:color="auto"/>
                                    <w:left w:val="none" w:sz="0" w:space="0" w:color="auto"/>
                                    <w:bottom w:val="none" w:sz="0" w:space="0" w:color="auto"/>
                                    <w:right w:val="none" w:sz="0" w:space="0" w:color="auto"/>
                                  </w:divBdr>
                                </w:div>
                              </w:divsChild>
                            </w:div>
                            <w:div w:id="931476894">
                              <w:marLeft w:val="0"/>
                              <w:marRight w:val="0"/>
                              <w:marTop w:val="0"/>
                              <w:marBottom w:val="0"/>
                              <w:divBdr>
                                <w:top w:val="none" w:sz="0" w:space="0" w:color="auto"/>
                                <w:left w:val="none" w:sz="0" w:space="0" w:color="auto"/>
                                <w:bottom w:val="none" w:sz="0" w:space="0" w:color="auto"/>
                                <w:right w:val="none" w:sz="0" w:space="0" w:color="auto"/>
                              </w:divBdr>
                              <w:divsChild>
                                <w:div w:id="1885483221">
                                  <w:marLeft w:val="0"/>
                                  <w:marRight w:val="0"/>
                                  <w:marTop w:val="0"/>
                                  <w:marBottom w:val="0"/>
                                  <w:divBdr>
                                    <w:top w:val="none" w:sz="0" w:space="0" w:color="auto"/>
                                    <w:left w:val="none" w:sz="0" w:space="0" w:color="auto"/>
                                    <w:bottom w:val="none" w:sz="0" w:space="0" w:color="auto"/>
                                    <w:right w:val="none" w:sz="0" w:space="0" w:color="auto"/>
                                  </w:divBdr>
                                </w:div>
                                <w:div w:id="1743092773">
                                  <w:marLeft w:val="0"/>
                                  <w:marRight w:val="0"/>
                                  <w:marTop w:val="0"/>
                                  <w:marBottom w:val="0"/>
                                  <w:divBdr>
                                    <w:top w:val="none" w:sz="0" w:space="0" w:color="auto"/>
                                    <w:left w:val="none" w:sz="0" w:space="0" w:color="auto"/>
                                    <w:bottom w:val="none" w:sz="0" w:space="0" w:color="auto"/>
                                    <w:right w:val="none" w:sz="0" w:space="0" w:color="auto"/>
                                  </w:divBdr>
                                </w:div>
                              </w:divsChild>
                            </w:div>
                            <w:div w:id="678698453">
                              <w:marLeft w:val="0"/>
                              <w:marRight w:val="0"/>
                              <w:marTop w:val="0"/>
                              <w:marBottom w:val="0"/>
                              <w:divBdr>
                                <w:top w:val="none" w:sz="0" w:space="0" w:color="auto"/>
                                <w:left w:val="none" w:sz="0" w:space="0" w:color="auto"/>
                                <w:bottom w:val="none" w:sz="0" w:space="0" w:color="auto"/>
                                <w:right w:val="none" w:sz="0" w:space="0" w:color="auto"/>
                              </w:divBdr>
                              <w:divsChild>
                                <w:div w:id="2010861592">
                                  <w:marLeft w:val="0"/>
                                  <w:marRight w:val="0"/>
                                  <w:marTop w:val="0"/>
                                  <w:marBottom w:val="0"/>
                                  <w:divBdr>
                                    <w:top w:val="none" w:sz="0" w:space="0" w:color="auto"/>
                                    <w:left w:val="none" w:sz="0" w:space="0" w:color="auto"/>
                                    <w:bottom w:val="none" w:sz="0" w:space="0" w:color="auto"/>
                                    <w:right w:val="none" w:sz="0" w:space="0" w:color="auto"/>
                                  </w:divBdr>
                                </w:div>
                                <w:div w:id="1329626499">
                                  <w:marLeft w:val="0"/>
                                  <w:marRight w:val="0"/>
                                  <w:marTop w:val="0"/>
                                  <w:marBottom w:val="0"/>
                                  <w:divBdr>
                                    <w:top w:val="none" w:sz="0" w:space="0" w:color="auto"/>
                                    <w:left w:val="none" w:sz="0" w:space="0" w:color="auto"/>
                                    <w:bottom w:val="none" w:sz="0" w:space="0" w:color="auto"/>
                                    <w:right w:val="none" w:sz="0" w:space="0" w:color="auto"/>
                                  </w:divBdr>
                                </w:div>
                              </w:divsChild>
                            </w:div>
                            <w:div w:id="1116217444">
                              <w:marLeft w:val="0"/>
                              <w:marRight w:val="0"/>
                              <w:marTop w:val="0"/>
                              <w:marBottom w:val="0"/>
                              <w:divBdr>
                                <w:top w:val="none" w:sz="0" w:space="0" w:color="auto"/>
                                <w:left w:val="none" w:sz="0" w:space="0" w:color="auto"/>
                                <w:bottom w:val="none" w:sz="0" w:space="0" w:color="auto"/>
                                <w:right w:val="none" w:sz="0" w:space="0" w:color="auto"/>
                              </w:divBdr>
                              <w:divsChild>
                                <w:div w:id="122357207">
                                  <w:marLeft w:val="0"/>
                                  <w:marRight w:val="0"/>
                                  <w:marTop w:val="0"/>
                                  <w:marBottom w:val="0"/>
                                  <w:divBdr>
                                    <w:top w:val="none" w:sz="0" w:space="0" w:color="auto"/>
                                    <w:left w:val="none" w:sz="0" w:space="0" w:color="auto"/>
                                    <w:bottom w:val="none" w:sz="0" w:space="0" w:color="auto"/>
                                    <w:right w:val="none" w:sz="0" w:space="0" w:color="auto"/>
                                  </w:divBdr>
                                </w:div>
                                <w:div w:id="241068144">
                                  <w:marLeft w:val="0"/>
                                  <w:marRight w:val="0"/>
                                  <w:marTop w:val="0"/>
                                  <w:marBottom w:val="0"/>
                                  <w:divBdr>
                                    <w:top w:val="none" w:sz="0" w:space="0" w:color="auto"/>
                                    <w:left w:val="none" w:sz="0" w:space="0" w:color="auto"/>
                                    <w:bottom w:val="none" w:sz="0" w:space="0" w:color="auto"/>
                                    <w:right w:val="none" w:sz="0" w:space="0" w:color="auto"/>
                                  </w:divBdr>
                                </w:div>
                              </w:divsChild>
                            </w:div>
                            <w:div w:id="1243102901">
                              <w:marLeft w:val="0"/>
                              <w:marRight w:val="0"/>
                              <w:marTop w:val="0"/>
                              <w:marBottom w:val="0"/>
                              <w:divBdr>
                                <w:top w:val="none" w:sz="0" w:space="0" w:color="auto"/>
                                <w:left w:val="none" w:sz="0" w:space="0" w:color="auto"/>
                                <w:bottom w:val="none" w:sz="0" w:space="0" w:color="auto"/>
                                <w:right w:val="none" w:sz="0" w:space="0" w:color="auto"/>
                              </w:divBdr>
                              <w:divsChild>
                                <w:div w:id="1037579820">
                                  <w:marLeft w:val="0"/>
                                  <w:marRight w:val="0"/>
                                  <w:marTop w:val="0"/>
                                  <w:marBottom w:val="0"/>
                                  <w:divBdr>
                                    <w:top w:val="none" w:sz="0" w:space="0" w:color="auto"/>
                                    <w:left w:val="none" w:sz="0" w:space="0" w:color="auto"/>
                                    <w:bottom w:val="none" w:sz="0" w:space="0" w:color="auto"/>
                                    <w:right w:val="none" w:sz="0" w:space="0" w:color="auto"/>
                                  </w:divBdr>
                                </w:div>
                                <w:div w:id="1090127300">
                                  <w:marLeft w:val="0"/>
                                  <w:marRight w:val="0"/>
                                  <w:marTop w:val="0"/>
                                  <w:marBottom w:val="0"/>
                                  <w:divBdr>
                                    <w:top w:val="none" w:sz="0" w:space="0" w:color="auto"/>
                                    <w:left w:val="none" w:sz="0" w:space="0" w:color="auto"/>
                                    <w:bottom w:val="none" w:sz="0" w:space="0" w:color="auto"/>
                                    <w:right w:val="none" w:sz="0" w:space="0" w:color="auto"/>
                                  </w:divBdr>
                                </w:div>
                              </w:divsChild>
                            </w:div>
                            <w:div w:id="127944474">
                              <w:marLeft w:val="0"/>
                              <w:marRight w:val="0"/>
                              <w:marTop w:val="0"/>
                              <w:marBottom w:val="0"/>
                              <w:divBdr>
                                <w:top w:val="none" w:sz="0" w:space="0" w:color="auto"/>
                                <w:left w:val="none" w:sz="0" w:space="0" w:color="auto"/>
                                <w:bottom w:val="none" w:sz="0" w:space="0" w:color="auto"/>
                                <w:right w:val="none" w:sz="0" w:space="0" w:color="auto"/>
                              </w:divBdr>
                              <w:divsChild>
                                <w:div w:id="1258825894">
                                  <w:marLeft w:val="0"/>
                                  <w:marRight w:val="0"/>
                                  <w:marTop w:val="0"/>
                                  <w:marBottom w:val="0"/>
                                  <w:divBdr>
                                    <w:top w:val="none" w:sz="0" w:space="0" w:color="auto"/>
                                    <w:left w:val="none" w:sz="0" w:space="0" w:color="auto"/>
                                    <w:bottom w:val="none" w:sz="0" w:space="0" w:color="auto"/>
                                    <w:right w:val="none" w:sz="0" w:space="0" w:color="auto"/>
                                  </w:divBdr>
                                </w:div>
                                <w:div w:id="1776628947">
                                  <w:marLeft w:val="0"/>
                                  <w:marRight w:val="0"/>
                                  <w:marTop w:val="0"/>
                                  <w:marBottom w:val="0"/>
                                  <w:divBdr>
                                    <w:top w:val="none" w:sz="0" w:space="0" w:color="auto"/>
                                    <w:left w:val="none" w:sz="0" w:space="0" w:color="auto"/>
                                    <w:bottom w:val="none" w:sz="0" w:space="0" w:color="auto"/>
                                    <w:right w:val="none" w:sz="0" w:space="0" w:color="auto"/>
                                  </w:divBdr>
                                </w:div>
                              </w:divsChild>
                            </w:div>
                            <w:div w:id="623731195">
                              <w:marLeft w:val="0"/>
                              <w:marRight w:val="0"/>
                              <w:marTop w:val="0"/>
                              <w:marBottom w:val="0"/>
                              <w:divBdr>
                                <w:top w:val="none" w:sz="0" w:space="0" w:color="auto"/>
                                <w:left w:val="none" w:sz="0" w:space="0" w:color="auto"/>
                                <w:bottom w:val="none" w:sz="0" w:space="0" w:color="auto"/>
                                <w:right w:val="none" w:sz="0" w:space="0" w:color="auto"/>
                              </w:divBdr>
                              <w:divsChild>
                                <w:div w:id="1467427134">
                                  <w:marLeft w:val="0"/>
                                  <w:marRight w:val="0"/>
                                  <w:marTop w:val="0"/>
                                  <w:marBottom w:val="0"/>
                                  <w:divBdr>
                                    <w:top w:val="none" w:sz="0" w:space="0" w:color="auto"/>
                                    <w:left w:val="none" w:sz="0" w:space="0" w:color="auto"/>
                                    <w:bottom w:val="none" w:sz="0" w:space="0" w:color="auto"/>
                                    <w:right w:val="none" w:sz="0" w:space="0" w:color="auto"/>
                                  </w:divBdr>
                                </w:div>
                                <w:div w:id="1051804834">
                                  <w:marLeft w:val="0"/>
                                  <w:marRight w:val="0"/>
                                  <w:marTop w:val="0"/>
                                  <w:marBottom w:val="0"/>
                                  <w:divBdr>
                                    <w:top w:val="none" w:sz="0" w:space="0" w:color="auto"/>
                                    <w:left w:val="none" w:sz="0" w:space="0" w:color="auto"/>
                                    <w:bottom w:val="none" w:sz="0" w:space="0" w:color="auto"/>
                                    <w:right w:val="none" w:sz="0" w:space="0" w:color="auto"/>
                                  </w:divBdr>
                                </w:div>
                              </w:divsChild>
                            </w:div>
                            <w:div w:id="1732922997">
                              <w:marLeft w:val="0"/>
                              <w:marRight w:val="0"/>
                              <w:marTop w:val="0"/>
                              <w:marBottom w:val="0"/>
                              <w:divBdr>
                                <w:top w:val="none" w:sz="0" w:space="0" w:color="auto"/>
                                <w:left w:val="none" w:sz="0" w:space="0" w:color="auto"/>
                                <w:bottom w:val="none" w:sz="0" w:space="0" w:color="auto"/>
                                <w:right w:val="none" w:sz="0" w:space="0" w:color="auto"/>
                              </w:divBdr>
                              <w:divsChild>
                                <w:div w:id="2904377">
                                  <w:marLeft w:val="0"/>
                                  <w:marRight w:val="0"/>
                                  <w:marTop w:val="0"/>
                                  <w:marBottom w:val="0"/>
                                  <w:divBdr>
                                    <w:top w:val="none" w:sz="0" w:space="0" w:color="auto"/>
                                    <w:left w:val="none" w:sz="0" w:space="0" w:color="auto"/>
                                    <w:bottom w:val="none" w:sz="0" w:space="0" w:color="auto"/>
                                    <w:right w:val="none" w:sz="0" w:space="0" w:color="auto"/>
                                  </w:divBdr>
                                </w:div>
                                <w:div w:id="696194442">
                                  <w:marLeft w:val="0"/>
                                  <w:marRight w:val="0"/>
                                  <w:marTop w:val="0"/>
                                  <w:marBottom w:val="0"/>
                                  <w:divBdr>
                                    <w:top w:val="none" w:sz="0" w:space="0" w:color="auto"/>
                                    <w:left w:val="none" w:sz="0" w:space="0" w:color="auto"/>
                                    <w:bottom w:val="none" w:sz="0" w:space="0" w:color="auto"/>
                                    <w:right w:val="none" w:sz="0" w:space="0" w:color="auto"/>
                                  </w:divBdr>
                                </w:div>
                              </w:divsChild>
                            </w:div>
                            <w:div w:id="885608942">
                              <w:marLeft w:val="0"/>
                              <w:marRight w:val="0"/>
                              <w:marTop w:val="0"/>
                              <w:marBottom w:val="0"/>
                              <w:divBdr>
                                <w:top w:val="none" w:sz="0" w:space="0" w:color="auto"/>
                                <w:left w:val="none" w:sz="0" w:space="0" w:color="auto"/>
                                <w:bottom w:val="none" w:sz="0" w:space="0" w:color="auto"/>
                                <w:right w:val="none" w:sz="0" w:space="0" w:color="auto"/>
                              </w:divBdr>
                              <w:divsChild>
                                <w:div w:id="2021465628">
                                  <w:marLeft w:val="0"/>
                                  <w:marRight w:val="0"/>
                                  <w:marTop w:val="0"/>
                                  <w:marBottom w:val="0"/>
                                  <w:divBdr>
                                    <w:top w:val="none" w:sz="0" w:space="0" w:color="auto"/>
                                    <w:left w:val="none" w:sz="0" w:space="0" w:color="auto"/>
                                    <w:bottom w:val="none" w:sz="0" w:space="0" w:color="auto"/>
                                    <w:right w:val="none" w:sz="0" w:space="0" w:color="auto"/>
                                  </w:divBdr>
                                </w:div>
                              </w:divsChild>
                            </w:div>
                            <w:div w:id="1569077223">
                              <w:marLeft w:val="0"/>
                              <w:marRight w:val="0"/>
                              <w:marTop w:val="0"/>
                              <w:marBottom w:val="0"/>
                              <w:divBdr>
                                <w:top w:val="none" w:sz="0" w:space="0" w:color="auto"/>
                                <w:left w:val="none" w:sz="0" w:space="0" w:color="auto"/>
                                <w:bottom w:val="none" w:sz="0" w:space="0" w:color="auto"/>
                                <w:right w:val="none" w:sz="0" w:space="0" w:color="auto"/>
                              </w:divBdr>
                              <w:divsChild>
                                <w:div w:id="771171091">
                                  <w:marLeft w:val="0"/>
                                  <w:marRight w:val="0"/>
                                  <w:marTop w:val="0"/>
                                  <w:marBottom w:val="0"/>
                                  <w:divBdr>
                                    <w:top w:val="none" w:sz="0" w:space="0" w:color="auto"/>
                                    <w:left w:val="none" w:sz="0" w:space="0" w:color="auto"/>
                                    <w:bottom w:val="none" w:sz="0" w:space="0" w:color="auto"/>
                                    <w:right w:val="none" w:sz="0" w:space="0" w:color="auto"/>
                                  </w:divBdr>
                                </w:div>
                                <w:div w:id="381906013">
                                  <w:marLeft w:val="0"/>
                                  <w:marRight w:val="0"/>
                                  <w:marTop w:val="0"/>
                                  <w:marBottom w:val="0"/>
                                  <w:divBdr>
                                    <w:top w:val="none" w:sz="0" w:space="0" w:color="auto"/>
                                    <w:left w:val="none" w:sz="0" w:space="0" w:color="auto"/>
                                    <w:bottom w:val="none" w:sz="0" w:space="0" w:color="auto"/>
                                    <w:right w:val="none" w:sz="0" w:space="0" w:color="auto"/>
                                  </w:divBdr>
                                </w:div>
                              </w:divsChild>
                            </w:div>
                            <w:div w:id="1923029165">
                              <w:marLeft w:val="0"/>
                              <w:marRight w:val="0"/>
                              <w:marTop w:val="0"/>
                              <w:marBottom w:val="0"/>
                              <w:divBdr>
                                <w:top w:val="none" w:sz="0" w:space="0" w:color="auto"/>
                                <w:left w:val="none" w:sz="0" w:space="0" w:color="auto"/>
                                <w:bottom w:val="none" w:sz="0" w:space="0" w:color="auto"/>
                                <w:right w:val="none" w:sz="0" w:space="0" w:color="auto"/>
                              </w:divBdr>
                              <w:divsChild>
                                <w:div w:id="511647135">
                                  <w:marLeft w:val="0"/>
                                  <w:marRight w:val="0"/>
                                  <w:marTop w:val="0"/>
                                  <w:marBottom w:val="0"/>
                                  <w:divBdr>
                                    <w:top w:val="none" w:sz="0" w:space="0" w:color="auto"/>
                                    <w:left w:val="none" w:sz="0" w:space="0" w:color="auto"/>
                                    <w:bottom w:val="none" w:sz="0" w:space="0" w:color="auto"/>
                                    <w:right w:val="none" w:sz="0" w:space="0" w:color="auto"/>
                                  </w:divBdr>
                                </w:div>
                              </w:divsChild>
                            </w:div>
                            <w:div w:id="1310478893">
                              <w:marLeft w:val="0"/>
                              <w:marRight w:val="0"/>
                              <w:marTop w:val="0"/>
                              <w:marBottom w:val="0"/>
                              <w:divBdr>
                                <w:top w:val="none" w:sz="0" w:space="0" w:color="auto"/>
                                <w:left w:val="none" w:sz="0" w:space="0" w:color="auto"/>
                                <w:bottom w:val="none" w:sz="0" w:space="0" w:color="auto"/>
                                <w:right w:val="none" w:sz="0" w:space="0" w:color="auto"/>
                              </w:divBdr>
                              <w:divsChild>
                                <w:div w:id="886916628">
                                  <w:marLeft w:val="0"/>
                                  <w:marRight w:val="0"/>
                                  <w:marTop w:val="0"/>
                                  <w:marBottom w:val="0"/>
                                  <w:divBdr>
                                    <w:top w:val="none" w:sz="0" w:space="0" w:color="auto"/>
                                    <w:left w:val="none" w:sz="0" w:space="0" w:color="auto"/>
                                    <w:bottom w:val="none" w:sz="0" w:space="0" w:color="auto"/>
                                    <w:right w:val="none" w:sz="0" w:space="0" w:color="auto"/>
                                  </w:divBdr>
                                </w:div>
                                <w:div w:id="439766273">
                                  <w:marLeft w:val="0"/>
                                  <w:marRight w:val="0"/>
                                  <w:marTop w:val="0"/>
                                  <w:marBottom w:val="0"/>
                                  <w:divBdr>
                                    <w:top w:val="none" w:sz="0" w:space="0" w:color="auto"/>
                                    <w:left w:val="none" w:sz="0" w:space="0" w:color="auto"/>
                                    <w:bottom w:val="none" w:sz="0" w:space="0" w:color="auto"/>
                                    <w:right w:val="none" w:sz="0" w:space="0" w:color="auto"/>
                                  </w:divBdr>
                                </w:div>
                              </w:divsChild>
                            </w:div>
                            <w:div w:id="422534541">
                              <w:marLeft w:val="0"/>
                              <w:marRight w:val="0"/>
                              <w:marTop w:val="0"/>
                              <w:marBottom w:val="0"/>
                              <w:divBdr>
                                <w:top w:val="none" w:sz="0" w:space="0" w:color="auto"/>
                                <w:left w:val="none" w:sz="0" w:space="0" w:color="auto"/>
                                <w:bottom w:val="none" w:sz="0" w:space="0" w:color="auto"/>
                                <w:right w:val="none" w:sz="0" w:space="0" w:color="auto"/>
                              </w:divBdr>
                              <w:divsChild>
                                <w:div w:id="775365543">
                                  <w:marLeft w:val="0"/>
                                  <w:marRight w:val="0"/>
                                  <w:marTop w:val="0"/>
                                  <w:marBottom w:val="0"/>
                                  <w:divBdr>
                                    <w:top w:val="none" w:sz="0" w:space="0" w:color="auto"/>
                                    <w:left w:val="none" w:sz="0" w:space="0" w:color="auto"/>
                                    <w:bottom w:val="none" w:sz="0" w:space="0" w:color="auto"/>
                                    <w:right w:val="none" w:sz="0" w:space="0" w:color="auto"/>
                                  </w:divBdr>
                                </w:div>
                                <w:div w:id="1104956479">
                                  <w:marLeft w:val="0"/>
                                  <w:marRight w:val="0"/>
                                  <w:marTop w:val="0"/>
                                  <w:marBottom w:val="0"/>
                                  <w:divBdr>
                                    <w:top w:val="none" w:sz="0" w:space="0" w:color="auto"/>
                                    <w:left w:val="none" w:sz="0" w:space="0" w:color="auto"/>
                                    <w:bottom w:val="none" w:sz="0" w:space="0" w:color="auto"/>
                                    <w:right w:val="none" w:sz="0" w:space="0" w:color="auto"/>
                                  </w:divBdr>
                                </w:div>
                              </w:divsChild>
                            </w:div>
                            <w:div w:id="1361975234">
                              <w:marLeft w:val="0"/>
                              <w:marRight w:val="0"/>
                              <w:marTop w:val="0"/>
                              <w:marBottom w:val="0"/>
                              <w:divBdr>
                                <w:top w:val="none" w:sz="0" w:space="0" w:color="auto"/>
                                <w:left w:val="none" w:sz="0" w:space="0" w:color="auto"/>
                                <w:bottom w:val="none" w:sz="0" w:space="0" w:color="auto"/>
                                <w:right w:val="none" w:sz="0" w:space="0" w:color="auto"/>
                              </w:divBdr>
                              <w:divsChild>
                                <w:div w:id="505706068">
                                  <w:marLeft w:val="0"/>
                                  <w:marRight w:val="0"/>
                                  <w:marTop w:val="0"/>
                                  <w:marBottom w:val="0"/>
                                  <w:divBdr>
                                    <w:top w:val="none" w:sz="0" w:space="0" w:color="auto"/>
                                    <w:left w:val="none" w:sz="0" w:space="0" w:color="auto"/>
                                    <w:bottom w:val="none" w:sz="0" w:space="0" w:color="auto"/>
                                    <w:right w:val="none" w:sz="0" w:space="0" w:color="auto"/>
                                  </w:divBdr>
                                </w:div>
                                <w:div w:id="549346025">
                                  <w:marLeft w:val="0"/>
                                  <w:marRight w:val="0"/>
                                  <w:marTop w:val="0"/>
                                  <w:marBottom w:val="0"/>
                                  <w:divBdr>
                                    <w:top w:val="none" w:sz="0" w:space="0" w:color="auto"/>
                                    <w:left w:val="none" w:sz="0" w:space="0" w:color="auto"/>
                                    <w:bottom w:val="none" w:sz="0" w:space="0" w:color="auto"/>
                                    <w:right w:val="none" w:sz="0" w:space="0" w:color="auto"/>
                                  </w:divBdr>
                                </w:div>
                              </w:divsChild>
                            </w:div>
                            <w:div w:id="843516194">
                              <w:marLeft w:val="0"/>
                              <w:marRight w:val="0"/>
                              <w:marTop w:val="0"/>
                              <w:marBottom w:val="0"/>
                              <w:divBdr>
                                <w:top w:val="none" w:sz="0" w:space="0" w:color="auto"/>
                                <w:left w:val="none" w:sz="0" w:space="0" w:color="auto"/>
                                <w:bottom w:val="none" w:sz="0" w:space="0" w:color="auto"/>
                                <w:right w:val="none" w:sz="0" w:space="0" w:color="auto"/>
                              </w:divBdr>
                              <w:divsChild>
                                <w:div w:id="1910774240">
                                  <w:marLeft w:val="0"/>
                                  <w:marRight w:val="0"/>
                                  <w:marTop w:val="0"/>
                                  <w:marBottom w:val="0"/>
                                  <w:divBdr>
                                    <w:top w:val="none" w:sz="0" w:space="0" w:color="auto"/>
                                    <w:left w:val="none" w:sz="0" w:space="0" w:color="auto"/>
                                    <w:bottom w:val="none" w:sz="0" w:space="0" w:color="auto"/>
                                    <w:right w:val="none" w:sz="0" w:space="0" w:color="auto"/>
                                  </w:divBdr>
                                </w:div>
                                <w:div w:id="735083883">
                                  <w:marLeft w:val="0"/>
                                  <w:marRight w:val="0"/>
                                  <w:marTop w:val="0"/>
                                  <w:marBottom w:val="0"/>
                                  <w:divBdr>
                                    <w:top w:val="none" w:sz="0" w:space="0" w:color="auto"/>
                                    <w:left w:val="none" w:sz="0" w:space="0" w:color="auto"/>
                                    <w:bottom w:val="none" w:sz="0" w:space="0" w:color="auto"/>
                                    <w:right w:val="none" w:sz="0" w:space="0" w:color="auto"/>
                                  </w:divBdr>
                                </w:div>
                              </w:divsChild>
                            </w:div>
                            <w:div w:id="1749423364">
                              <w:marLeft w:val="0"/>
                              <w:marRight w:val="0"/>
                              <w:marTop w:val="0"/>
                              <w:marBottom w:val="0"/>
                              <w:divBdr>
                                <w:top w:val="none" w:sz="0" w:space="0" w:color="auto"/>
                                <w:left w:val="none" w:sz="0" w:space="0" w:color="auto"/>
                                <w:bottom w:val="none" w:sz="0" w:space="0" w:color="auto"/>
                                <w:right w:val="none" w:sz="0" w:space="0" w:color="auto"/>
                              </w:divBdr>
                              <w:divsChild>
                                <w:div w:id="1837963600">
                                  <w:marLeft w:val="0"/>
                                  <w:marRight w:val="0"/>
                                  <w:marTop w:val="0"/>
                                  <w:marBottom w:val="0"/>
                                  <w:divBdr>
                                    <w:top w:val="none" w:sz="0" w:space="0" w:color="auto"/>
                                    <w:left w:val="none" w:sz="0" w:space="0" w:color="auto"/>
                                    <w:bottom w:val="none" w:sz="0" w:space="0" w:color="auto"/>
                                    <w:right w:val="none" w:sz="0" w:space="0" w:color="auto"/>
                                  </w:divBdr>
                                </w:div>
                                <w:div w:id="590629355">
                                  <w:marLeft w:val="0"/>
                                  <w:marRight w:val="0"/>
                                  <w:marTop w:val="0"/>
                                  <w:marBottom w:val="0"/>
                                  <w:divBdr>
                                    <w:top w:val="none" w:sz="0" w:space="0" w:color="auto"/>
                                    <w:left w:val="none" w:sz="0" w:space="0" w:color="auto"/>
                                    <w:bottom w:val="none" w:sz="0" w:space="0" w:color="auto"/>
                                    <w:right w:val="none" w:sz="0" w:space="0" w:color="auto"/>
                                  </w:divBdr>
                                </w:div>
                              </w:divsChild>
                            </w:div>
                            <w:div w:id="1052004131">
                              <w:marLeft w:val="0"/>
                              <w:marRight w:val="0"/>
                              <w:marTop w:val="0"/>
                              <w:marBottom w:val="0"/>
                              <w:divBdr>
                                <w:top w:val="none" w:sz="0" w:space="0" w:color="auto"/>
                                <w:left w:val="none" w:sz="0" w:space="0" w:color="auto"/>
                                <w:bottom w:val="none" w:sz="0" w:space="0" w:color="auto"/>
                                <w:right w:val="none" w:sz="0" w:space="0" w:color="auto"/>
                              </w:divBdr>
                              <w:divsChild>
                                <w:div w:id="1470200877">
                                  <w:marLeft w:val="0"/>
                                  <w:marRight w:val="0"/>
                                  <w:marTop w:val="0"/>
                                  <w:marBottom w:val="0"/>
                                  <w:divBdr>
                                    <w:top w:val="none" w:sz="0" w:space="0" w:color="auto"/>
                                    <w:left w:val="none" w:sz="0" w:space="0" w:color="auto"/>
                                    <w:bottom w:val="none" w:sz="0" w:space="0" w:color="auto"/>
                                    <w:right w:val="none" w:sz="0" w:space="0" w:color="auto"/>
                                  </w:divBdr>
                                </w:div>
                                <w:div w:id="2008819383">
                                  <w:marLeft w:val="0"/>
                                  <w:marRight w:val="0"/>
                                  <w:marTop w:val="0"/>
                                  <w:marBottom w:val="0"/>
                                  <w:divBdr>
                                    <w:top w:val="none" w:sz="0" w:space="0" w:color="auto"/>
                                    <w:left w:val="none" w:sz="0" w:space="0" w:color="auto"/>
                                    <w:bottom w:val="none" w:sz="0" w:space="0" w:color="auto"/>
                                    <w:right w:val="none" w:sz="0" w:space="0" w:color="auto"/>
                                  </w:divBdr>
                                </w:div>
                              </w:divsChild>
                            </w:div>
                            <w:div w:id="1424371992">
                              <w:marLeft w:val="0"/>
                              <w:marRight w:val="0"/>
                              <w:marTop w:val="0"/>
                              <w:marBottom w:val="0"/>
                              <w:divBdr>
                                <w:top w:val="none" w:sz="0" w:space="0" w:color="auto"/>
                                <w:left w:val="none" w:sz="0" w:space="0" w:color="auto"/>
                                <w:bottom w:val="none" w:sz="0" w:space="0" w:color="auto"/>
                                <w:right w:val="none" w:sz="0" w:space="0" w:color="auto"/>
                              </w:divBdr>
                              <w:divsChild>
                                <w:div w:id="348485098">
                                  <w:marLeft w:val="0"/>
                                  <w:marRight w:val="0"/>
                                  <w:marTop w:val="0"/>
                                  <w:marBottom w:val="0"/>
                                  <w:divBdr>
                                    <w:top w:val="none" w:sz="0" w:space="0" w:color="auto"/>
                                    <w:left w:val="none" w:sz="0" w:space="0" w:color="auto"/>
                                    <w:bottom w:val="none" w:sz="0" w:space="0" w:color="auto"/>
                                    <w:right w:val="none" w:sz="0" w:space="0" w:color="auto"/>
                                  </w:divBdr>
                                </w:div>
                                <w:div w:id="929852956">
                                  <w:marLeft w:val="0"/>
                                  <w:marRight w:val="0"/>
                                  <w:marTop w:val="0"/>
                                  <w:marBottom w:val="0"/>
                                  <w:divBdr>
                                    <w:top w:val="none" w:sz="0" w:space="0" w:color="auto"/>
                                    <w:left w:val="none" w:sz="0" w:space="0" w:color="auto"/>
                                    <w:bottom w:val="none" w:sz="0" w:space="0" w:color="auto"/>
                                    <w:right w:val="none" w:sz="0" w:space="0" w:color="auto"/>
                                  </w:divBdr>
                                </w:div>
                              </w:divsChild>
                            </w:div>
                            <w:div w:id="149829937">
                              <w:marLeft w:val="0"/>
                              <w:marRight w:val="0"/>
                              <w:marTop w:val="0"/>
                              <w:marBottom w:val="0"/>
                              <w:divBdr>
                                <w:top w:val="none" w:sz="0" w:space="0" w:color="auto"/>
                                <w:left w:val="none" w:sz="0" w:space="0" w:color="auto"/>
                                <w:bottom w:val="none" w:sz="0" w:space="0" w:color="auto"/>
                                <w:right w:val="none" w:sz="0" w:space="0" w:color="auto"/>
                              </w:divBdr>
                              <w:divsChild>
                                <w:div w:id="120612073">
                                  <w:marLeft w:val="0"/>
                                  <w:marRight w:val="0"/>
                                  <w:marTop w:val="0"/>
                                  <w:marBottom w:val="0"/>
                                  <w:divBdr>
                                    <w:top w:val="none" w:sz="0" w:space="0" w:color="auto"/>
                                    <w:left w:val="none" w:sz="0" w:space="0" w:color="auto"/>
                                    <w:bottom w:val="none" w:sz="0" w:space="0" w:color="auto"/>
                                    <w:right w:val="none" w:sz="0" w:space="0" w:color="auto"/>
                                  </w:divBdr>
                                </w:div>
                                <w:div w:id="1391344517">
                                  <w:marLeft w:val="0"/>
                                  <w:marRight w:val="0"/>
                                  <w:marTop w:val="0"/>
                                  <w:marBottom w:val="0"/>
                                  <w:divBdr>
                                    <w:top w:val="none" w:sz="0" w:space="0" w:color="auto"/>
                                    <w:left w:val="none" w:sz="0" w:space="0" w:color="auto"/>
                                    <w:bottom w:val="none" w:sz="0" w:space="0" w:color="auto"/>
                                    <w:right w:val="none" w:sz="0" w:space="0" w:color="auto"/>
                                  </w:divBdr>
                                </w:div>
                              </w:divsChild>
                            </w:div>
                            <w:div w:id="14621089">
                              <w:marLeft w:val="0"/>
                              <w:marRight w:val="0"/>
                              <w:marTop w:val="0"/>
                              <w:marBottom w:val="0"/>
                              <w:divBdr>
                                <w:top w:val="none" w:sz="0" w:space="0" w:color="auto"/>
                                <w:left w:val="none" w:sz="0" w:space="0" w:color="auto"/>
                                <w:bottom w:val="none" w:sz="0" w:space="0" w:color="auto"/>
                                <w:right w:val="none" w:sz="0" w:space="0" w:color="auto"/>
                              </w:divBdr>
                              <w:divsChild>
                                <w:div w:id="663556967">
                                  <w:marLeft w:val="0"/>
                                  <w:marRight w:val="0"/>
                                  <w:marTop w:val="0"/>
                                  <w:marBottom w:val="0"/>
                                  <w:divBdr>
                                    <w:top w:val="none" w:sz="0" w:space="0" w:color="auto"/>
                                    <w:left w:val="none" w:sz="0" w:space="0" w:color="auto"/>
                                    <w:bottom w:val="none" w:sz="0" w:space="0" w:color="auto"/>
                                    <w:right w:val="none" w:sz="0" w:space="0" w:color="auto"/>
                                  </w:divBdr>
                                </w:div>
                                <w:div w:id="1520195290">
                                  <w:marLeft w:val="0"/>
                                  <w:marRight w:val="0"/>
                                  <w:marTop w:val="0"/>
                                  <w:marBottom w:val="0"/>
                                  <w:divBdr>
                                    <w:top w:val="none" w:sz="0" w:space="0" w:color="auto"/>
                                    <w:left w:val="none" w:sz="0" w:space="0" w:color="auto"/>
                                    <w:bottom w:val="none" w:sz="0" w:space="0" w:color="auto"/>
                                    <w:right w:val="none" w:sz="0" w:space="0" w:color="auto"/>
                                  </w:divBdr>
                                </w:div>
                              </w:divsChild>
                            </w:div>
                            <w:div w:id="1255169128">
                              <w:marLeft w:val="0"/>
                              <w:marRight w:val="0"/>
                              <w:marTop w:val="0"/>
                              <w:marBottom w:val="0"/>
                              <w:divBdr>
                                <w:top w:val="none" w:sz="0" w:space="0" w:color="auto"/>
                                <w:left w:val="none" w:sz="0" w:space="0" w:color="auto"/>
                                <w:bottom w:val="none" w:sz="0" w:space="0" w:color="auto"/>
                                <w:right w:val="none" w:sz="0" w:space="0" w:color="auto"/>
                              </w:divBdr>
                              <w:divsChild>
                                <w:div w:id="944189814">
                                  <w:marLeft w:val="0"/>
                                  <w:marRight w:val="0"/>
                                  <w:marTop w:val="0"/>
                                  <w:marBottom w:val="0"/>
                                  <w:divBdr>
                                    <w:top w:val="none" w:sz="0" w:space="0" w:color="auto"/>
                                    <w:left w:val="none" w:sz="0" w:space="0" w:color="auto"/>
                                    <w:bottom w:val="none" w:sz="0" w:space="0" w:color="auto"/>
                                    <w:right w:val="none" w:sz="0" w:space="0" w:color="auto"/>
                                  </w:divBdr>
                                </w:div>
                                <w:div w:id="218594048">
                                  <w:marLeft w:val="0"/>
                                  <w:marRight w:val="0"/>
                                  <w:marTop w:val="0"/>
                                  <w:marBottom w:val="0"/>
                                  <w:divBdr>
                                    <w:top w:val="none" w:sz="0" w:space="0" w:color="auto"/>
                                    <w:left w:val="none" w:sz="0" w:space="0" w:color="auto"/>
                                    <w:bottom w:val="none" w:sz="0" w:space="0" w:color="auto"/>
                                    <w:right w:val="none" w:sz="0" w:space="0" w:color="auto"/>
                                  </w:divBdr>
                                </w:div>
                              </w:divsChild>
                            </w:div>
                            <w:div w:id="15892164">
                              <w:marLeft w:val="0"/>
                              <w:marRight w:val="0"/>
                              <w:marTop w:val="0"/>
                              <w:marBottom w:val="0"/>
                              <w:divBdr>
                                <w:top w:val="none" w:sz="0" w:space="0" w:color="auto"/>
                                <w:left w:val="none" w:sz="0" w:space="0" w:color="auto"/>
                                <w:bottom w:val="none" w:sz="0" w:space="0" w:color="auto"/>
                                <w:right w:val="none" w:sz="0" w:space="0" w:color="auto"/>
                              </w:divBdr>
                              <w:divsChild>
                                <w:div w:id="380178351">
                                  <w:marLeft w:val="0"/>
                                  <w:marRight w:val="0"/>
                                  <w:marTop w:val="0"/>
                                  <w:marBottom w:val="0"/>
                                  <w:divBdr>
                                    <w:top w:val="none" w:sz="0" w:space="0" w:color="auto"/>
                                    <w:left w:val="none" w:sz="0" w:space="0" w:color="auto"/>
                                    <w:bottom w:val="none" w:sz="0" w:space="0" w:color="auto"/>
                                    <w:right w:val="none" w:sz="0" w:space="0" w:color="auto"/>
                                  </w:divBdr>
                                </w:div>
                                <w:div w:id="1024744351">
                                  <w:marLeft w:val="0"/>
                                  <w:marRight w:val="0"/>
                                  <w:marTop w:val="0"/>
                                  <w:marBottom w:val="0"/>
                                  <w:divBdr>
                                    <w:top w:val="none" w:sz="0" w:space="0" w:color="auto"/>
                                    <w:left w:val="none" w:sz="0" w:space="0" w:color="auto"/>
                                    <w:bottom w:val="none" w:sz="0" w:space="0" w:color="auto"/>
                                    <w:right w:val="none" w:sz="0" w:space="0" w:color="auto"/>
                                  </w:divBdr>
                                </w:div>
                              </w:divsChild>
                            </w:div>
                            <w:div w:id="1611821224">
                              <w:marLeft w:val="0"/>
                              <w:marRight w:val="0"/>
                              <w:marTop w:val="0"/>
                              <w:marBottom w:val="0"/>
                              <w:divBdr>
                                <w:top w:val="none" w:sz="0" w:space="0" w:color="auto"/>
                                <w:left w:val="none" w:sz="0" w:space="0" w:color="auto"/>
                                <w:bottom w:val="none" w:sz="0" w:space="0" w:color="auto"/>
                                <w:right w:val="none" w:sz="0" w:space="0" w:color="auto"/>
                              </w:divBdr>
                              <w:divsChild>
                                <w:div w:id="1115834180">
                                  <w:marLeft w:val="0"/>
                                  <w:marRight w:val="0"/>
                                  <w:marTop w:val="0"/>
                                  <w:marBottom w:val="0"/>
                                  <w:divBdr>
                                    <w:top w:val="none" w:sz="0" w:space="0" w:color="auto"/>
                                    <w:left w:val="none" w:sz="0" w:space="0" w:color="auto"/>
                                    <w:bottom w:val="none" w:sz="0" w:space="0" w:color="auto"/>
                                    <w:right w:val="none" w:sz="0" w:space="0" w:color="auto"/>
                                  </w:divBdr>
                                </w:div>
                                <w:div w:id="484509806">
                                  <w:marLeft w:val="0"/>
                                  <w:marRight w:val="0"/>
                                  <w:marTop w:val="0"/>
                                  <w:marBottom w:val="0"/>
                                  <w:divBdr>
                                    <w:top w:val="none" w:sz="0" w:space="0" w:color="auto"/>
                                    <w:left w:val="none" w:sz="0" w:space="0" w:color="auto"/>
                                    <w:bottom w:val="none" w:sz="0" w:space="0" w:color="auto"/>
                                    <w:right w:val="none" w:sz="0" w:space="0" w:color="auto"/>
                                  </w:divBdr>
                                </w:div>
                              </w:divsChild>
                            </w:div>
                            <w:div w:id="155195000">
                              <w:marLeft w:val="0"/>
                              <w:marRight w:val="0"/>
                              <w:marTop w:val="0"/>
                              <w:marBottom w:val="0"/>
                              <w:divBdr>
                                <w:top w:val="none" w:sz="0" w:space="0" w:color="auto"/>
                                <w:left w:val="none" w:sz="0" w:space="0" w:color="auto"/>
                                <w:bottom w:val="none" w:sz="0" w:space="0" w:color="auto"/>
                                <w:right w:val="none" w:sz="0" w:space="0" w:color="auto"/>
                              </w:divBdr>
                              <w:divsChild>
                                <w:div w:id="79107495">
                                  <w:marLeft w:val="0"/>
                                  <w:marRight w:val="0"/>
                                  <w:marTop w:val="0"/>
                                  <w:marBottom w:val="0"/>
                                  <w:divBdr>
                                    <w:top w:val="none" w:sz="0" w:space="0" w:color="auto"/>
                                    <w:left w:val="none" w:sz="0" w:space="0" w:color="auto"/>
                                    <w:bottom w:val="none" w:sz="0" w:space="0" w:color="auto"/>
                                    <w:right w:val="none" w:sz="0" w:space="0" w:color="auto"/>
                                  </w:divBdr>
                                </w:div>
                                <w:div w:id="761414644">
                                  <w:marLeft w:val="0"/>
                                  <w:marRight w:val="0"/>
                                  <w:marTop w:val="0"/>
                                  <w:marBottom w:val="0"/>
                                  <w:divBdr>
                                    <w:top w:val="none" w:sz="0" w:space="0" w:color="auto"/>
                                    <w:left w:val="none" w:sz="0" w:space="0" w:color="auto"/>
                                    <w:bottom w:val="none" w:sz="0" w:space="0" w:color="auto"/>
                                    <w:right w:val="none" w:sz="0" w:space="0" w:color="auto"/>
                                  </w:divBdr>
                                </w:div>
                              </w:divsChild>
                            </w:div>
                            <w:div w:id="1602638326">
                              <w:marLeft w:val="0"/>
                              <w:marRight w:val="0"/>
                              <w:marTop w:val="0"/>
                              <w:marBottom w:val="0"/>
                              <w:divBdr>
                                <w:top w:val="none" w:sz="0" w:space="0" w:color="auto"/>
                                <w:left w:val="none" w:sz="0" w:space="0" w:color="auto"/>
                                <w:bottom w:val="none" w:sz="0" w:space="0" w:color="auto"/>
                                <w:right w:val="none" w:sz="0" w:space="0" w:color="auto"/>
                              </w:divBdr>
                              <w:divsChild>
                                <w:div w:id="114301871">
                                  <w:marLeft w:val="0"/>
                                  <w:marRight w:val="0"/>
                                  <w:marTop w:val="0"/>
                                  <w:marBottom w:val="0"/>
                                  <w:divBdr>
                                    <w:top w:val="none" w:sz="0" w:space="0" w:color="auto"/>
                                    <w:left w:val="none" w:sz="0" w:space="0" w:color="auto"/>
                                    <w:bottom w:val="none" w:sz="0" w:space="0" w:color="auto"/>
                                    <w:right w:val="none" w:sz="0" w:space="0" w:color="auto"/>
                                  </w:divBdr>
                                </w:div>
                                <w:div w:id="423576680">
                                  <w:marLeft w:val="0"/>
                                  <w:marRight w:val="0"/>
                                  <w:marTop w:val="0"/>
                                  <w:marBottom w:val="0"/>
                                  <w:divBdr>
                                    <w:top w:val="none" w:sz="0" w:space="0" w:color="auto"/>
                                    <w:left w:val="none" w:sz="0" w:space="0" w:color="auto"/>
                                    <w:bottom w:val="none" w:sz="0" w:space="0" w:color="auto"/>
                                    <w:right w:val="none" w:sz="0" w:space="0" w:color="auto"/>
                                  </w:divBdr>
                                </w:div>
                              </w:divsChild>
                            </w:div>
                            <w:div w:id="931282778">
                              <w:marLeft w:val="0"/>
                              <w:marRight w:val="0"/>
                              <w:marTop w:val="0"/>
                              <w:marBottom w:val="0"/>
                              <w:divBdr>
                                <w:top w:val="none" w:sz="0" w:space="0" w:color="auto"/>
                                <w:left w:val="none" w:sz="0" w:space="0" w:color="auto"/>
                                <w:bottom w:val="none" w:sz="0" w:space="0" w:color="auto"/>
                                <w:right w:val="none" w:sz="0" w:space="0" w:color="auto"/>
                              </w:divBdr>
                              <w:divsChild>
                                <w:div w:id="1997758044">
                                  <w:marLeft w:val="0"/>
                                  <w:marRight w:val="0"/>
                                  <w:marTop w:val="0"/>
                                  <w:marBottom w:val="0"/>
                                  <w:divBdr>
                                    <w:top w:val="none" w:sz="0" w:space="0" w:color="auto"/>
                                    <w:left w:val="none" w:sz="0" w:space="0" w:color="auto"/>
                                    <w:bottom w:val="none" w:sz="0" w:space="0" w:color="auto"/>
                                    <w:right w:val="none" w:sz="0" w:space="0" w:color="auto"/>
                                  </w:divBdr>
                                </w:div>
                                <w:div w:id="404884182">
                                  <w:marLeft w:val="0"/>
                                  <w:marRight w:val="0"/>
                                  <w:marTop w:val="0"/>
                                  <w:marBottom w:val="0"/>
                                  <w:divBdr>
                                    <w:top w:val="none" w:sz="0" w:space="0" w:color="auto"/>
                                    <w:left w:val="none" w:sz="0" w:space="0" w:color="auto"/>
                                    <w:bottom w:val="none" w:sz="0" w:space="0" w:color="auto"/>
                                    <w:right w:val="none" w:sz="0" w:space="0" w:color="auto"/>
                                  </w:divBdr>
                                </w:div>
                              </w:divsChild>
                            </w:div>
                            <w:div w:id="1627740461">
                              <w:marLeft w:val="0"/>
                              <w:marRight w:val="0"/>
                              <w:marTop w:val="0"/>
                              <w:marBottom w:val="0"/>
                              <w:divBdr>
                                <w:top w:val="none" w:sz="0" w:space="0" w:color="auto"/>
                                <w:left w:val="none" w:sz="0" w:space="0" w:color="auto"/>
                                <w:bottom w:val="none" w:sz="0" w:space="0" w:color="auto"/>
                                <w:right w:val="none" w:sz="0" w:space="0" w:color="auto"/>
                              </w:divBdr>
                              <w:divsChild>
                                <w:div w:id="2025856445">
                                  <w:marLeft w:val="0"/>
                                  <w:marRight w:val="0"/>
                                  <w:marTop w:val="0"/>
                                  <w:marBottom w:val="0"/>
                                  <w:divBdr>
                                    <w:top w:val="none" w:sz="0" w:space="0" w:color="auto"/>
                                    <w:left w:val="none" w:sz="0" w:space="0" w:color="auto"/>
                                    <w:bottom w:val="none" w:sz="0" w:space="0" w:color="auto"/>
                                    <w:right w:val="none" w:sz="0" w:space="0" w:color="auto"/>
                                  </w:divBdr>
                                </w:div>
                              </w:divsChild>
                            </w:div>
                            <w:div w:id="416636788">
                              <w:marLeft w:val="0"/>
                              <w:marRight w:val="0"/>
                              <w:marTop w:val="0"/>
                              <w:marBottom w:val="0"/>
                              <w:divBdr>
                                <w:top w:val="none" w:sz="0" w:space="0" w:color="auto"/>
                                <w:left w:val="none" w:sz="0" w:space="0" w:color="auto"/>
                                <w:bottom w:val="none" w:sz="0" w:space="0" w:color="auto"/>
                                <w:right w:val="none" w:sz="0" w:space="0" w:color="auto"/>
                              </w:divBdr>
                              <w:divsChild>
                                <w:div w:id="859857828">
                                  <w:marLeft w:val="0"/>
                                  <w:marRight w:val="0"/>
                                  <w:marTop w:val="0"/>
                                  <w:marBottom w:val="0"/>
                                  <w:divBdr>
                                    <w:top w:val="none" w:sz="0" w:space="0" w:color="auto"/>
                                    <w:left w:val="none" w:sz="0" w:space="0" w:color="auto"/>
                                    <w:bottom w:val="none" w:sz="0" w:space="0" w:color="auto"/>
                                    <w:right w:val="none" w:sz="0" w:space="0" w:color="auto"/>
                                  </w:divBdr>
                                </w:div>
                                <w:div w:id="1127964729">
                                  <w:marLeft w:val="0"/>
                                  <w:marRight w:val="0"/>
                                  <w:marTop w:val="0"/>
                                  <w:marBottom w:val="0"/>
                                  <w:divBdr>
                                    <w:top w:val="none" w:sz="0" w:space="0" w:color="auto"/>
                                    <w:left w:val="none" w:sz="0" w:space="0" w:color="auto"/>
                                    <w:bottom w:val="none" w:sz="0" w:space="0" w:color="auto"/>
                                    <w:right w:val="none" w:sz="0" w:space="0" w:color="auto"/>
                                  </w:divBdr>
                                </w:div>
                              </w:divsChild>
                            </w:div>
                            <w:div w:id="1859540988">
                              <w:marLeft w:val="0"/>
                              <w:marRight w:val="0"/>
                              <w:marTop w:val="0"/>
                              <w:marBottom w:val="0"/>
                              <w:divBdr>
                                <w:top w:val="none" w:sz="0" w:space="0" w:color="auto"/>
                                <w:left w:val="none" w:sz="0" w:space="0" w:color="auto"/>
                                <w:bottom w:val="none" w:sz="0" w:space="0" w:color="auto"/>
                                <w:right w:val="none" w:sz="0" w:space="0" w:color="auto"/>
                              </w:divBdr>
                              <w:divsChild>
                                <w:div w:id="223295369">
                                  <w:marLeft w:val="0"/>
                                  <w:marRight w:val="0"/>
                                  <w:marTop w:val="0"/>
                                  <w:marBottom w:val="0"/>
                                  <w:divBdr>
                                    <w:top w:val="none" w:sz="0" w:space="0" w:color="auto"/>
                                    <w:left w:val="none" w:sz="0" w:space="0" w:color="auto"/>
                                    <w:bottom w:val="none" w:sz="0" w:space="0" w:color="auto"/>
                                    <w:right w:val="none" w:sz="0" w:space="0" w:color="auto"/>
                                  </w:divBdr>
                                </w:div>
                                <w:div w:id="593826713">
                                  <w:marLeft w:val="0"/>
                                  <w:marRight w:val="0"/>
                                  <w:marTop w:val="0"/>
                                  <w:marBottom w:val="0"/>
                                  <w:divBdr>
                                    <w:top w:val="none" w:sz="0" w:space="0" w:color="auto"/>
                                    <w:left w:val="none" w:sz="0" w:space="0" w:color="auto"/>
                                    <w:bottom w:val="none" w:sz="0" w:space="0" w:color="auto"/>
                                    <w:right w:val="none" w:sz="0" w:space="0" w:color="auto"/>
                                  </w:divBdr>
                                </w:div>
                              </w:divsChild>
                            </w:div>
                            <w:div w:id="62602616">
                              <w:marLeft w:val="0"/>
                              <w:marRight w:val="0"/>
                              <w:marTop w:val="0"/>
                              <w:marBottom w:val="0"/>
                              <w:divBdr>
                                <w:top w:val="none" w:sz="0" w:space="0" w:color="auto"/>
                                <w:left w:val="none" w:sz="0" w:space="0" w:color="auto"/>
                                <w:bottom w:val="none" w:sz="0" w:space="0" w:color="auto"/>
                                <w:right w:val="none" w:sz="0" w:space="0" w:color="auto"/>
                              </w:divBdr>
                              <w:divsChild>
                                <w:div w:id="1925989349">
                                  <w:marLeft w:val="0"/>
                                  <w:marRight w:val="0"/>
                                  <w:marTop w:val="0"/>
                                  <w:marBottom w:val="0"/>
                                  <w:divBdr>
                                    <w:top w:val="none" w:sz="0" w:space="0" w:color="auto"/>
                                    <w:left w:val="none" w:sz="0" w:space="0" w:color="auto"/>
                                    <w:bottom w:val="none" w:sz="0" w:space="0" w:color="auto"/>
                                    <w:right w:val="none" w:sz="0" w:space="0" w:color="auto"/>
                                  </w:divBdr>
                                </w:div>
                                <w:div w:id="843742864">
                                  <w:marLeft w:val="0"/>
                                  <w:marRight w:val="0"/>
                                  <w:marTop w:val="0"/>
                                  <w:marBottom w:val="0"/>
                                  <w:divBdr>
                                    <w:top w:val="none" w:sz="0" w:space="0" w:color="auto"/>
                                    <w:left w:val="none" w:sz="0" w:space="0" w:color="auto"/>
                                    <w:bottom w:val="none" w:sz="0" w:space="0" w:color="auto"/>
                                    <w:right w:val="none" w:sz="0" w:space="0" w:color="auto"/>
                                  </w:divBdr>
                                </w:div>
                              </w:divsChild>
                            </w:div>
                            <w:div w:id="1450318802">
                              <w:marLeft w:val="0"/>
                              <w:marRight w:val="0"/>
                              <w:marTop w:val="0"/>
                              <w:marBottom w:val="0"/>
                              <w:divBdr>
                                <w:top w:val="none" w:sz="0" w:space="0" w:color="auto"/>
                                <w:left w:val="none" w:sz="0" w:space="0" w:color="auto"/>
                                <w:bottom w:val="none" w:sz="0" w:space="0" w:color="auto"/>
                                <w:right w:val="none" w:sz="0" w:space="0" w:color="auto"/>
                              </w:divBdr>
                              <w:divsChild>
                                <w:div w:id="1328752374">
                                  <w:marLeft w:val="0"/>
                                  <w:marRight w:val="0"/>
                                  <w:marTop w:val="0"/>
                                  <w:marBottom w:val="0"/>
                                  <w:divBdr>
                                    <w:top w:val="none" w:sz="0" w:space="0" w:color="auto"/>
                                    <w:left w:val="none" w:sz="0" w:space="0" w:color="auto"/>
                                    <w:bottom w:val="none" w:sz="0" w:space="0" w:color="auto"/>
                                    <w:right w:val="none" w:sz="0" w:space="0" w:color="auto"/>
                                  </w:divBdr>
                                </w:div>
                                <w:div w:id="999772511">
                                  <w:marLeft w:val="0"/>
                                  <w:marRight w:val="0"/>
                                  <w:marTop w:val="0"/>
                                  <w:marBottom w:val="0"/>
                                  <w:divBdr>
                                    <w:top w:val="none" w:sz="0" w:space="0" w:color="auto"/>
                                    <w:left w:val="none" w:sz="0" w:space="0" w:color="auto"/>
                                    <w:bottom w:val="none" w:sz="0" w:space="0" w:color="auto"/>
                                    <w:right w:val="none" w:sz="0" w:space="0" w:color="auto"/>
                                  </w:divBdr>
                                </w:div>
                              </w:divsChild>
                            </w:div>
                            <w:div w:id="812211495">
                              <w:marLeft w:val="0"/>
                              <w:marRight w:val="0"/>
                              <w:marTop w:val="0"/>
                              <w:marBottom w:val="0"/>
                              <w:divBdr>
                                <w:top w:val="none" w:sz="0" w:space="0" w:color="auto"/>
                                <w:left w:val="none" w:sz="0" w:space="0" w:color="auto"/>
                                <w:bottom w:val="none" w:sz="0" w:space="0" w:color="auto"/>
                                <w:right w:val="none" w:sz="0" w:space="0" w:color="auto"/>
                              </w:divBdr>
                              <w:divsChild>
                                <w:div w:id="1547332645">
                                  <w:marLeft w:val="0"/>
                                  <w:marRight w:val="0"/>
                                  <w:marTop w:val="0"/>
                                  <w:marBottom w:val="0"/>
                                  <w:divBdr>
                                    <w:top w:val="none" w:sz="0" w:space="0" w:color="auto"/>
                                    <w:left w:val="none" w:sz="0" w:space="0" w:color="auto"/>
                                    <w:bottom w:val="none" w:sz="0" w:space="0" w:color="auto"/>
                                    <w:right w:val="none" w:sz="0" w:space="0" w:color="auto"/>
                                  </w:divBdr>
                                </w:div>
                                <w:div w:id="1703823893">
                                  <w:marLeft w:val="0"/>
                                  <w:marRight w:val="0"/>
                                  <w:marTop w:val="0"/>
                                  <w:marBottom w:val="0"/>
                                  <w:divBdr>
                                    <w:top w:val="none" w:sz="0" w:space="0" w:color="auto"/>
                                    <w:left w:val="none" w:sz="0" w:space="0" w:color="auto"/>
                                    <w:bottom w:val="none" w:sz="0" w:space="0" w:color="auto"/>
                                    <w:right w:val="none" w:sz="0" w:space="0" w:color="auto"/>
                                  </w:divBdr>
                                </w:div>
                              </w:divsChild>
                            </w:div>
                            <w:div w:id="1471559565">
                              <w:marLeft w:val="0"/>
                              <w:marRight w:val="0"/>
                              <w:marTop w:val="0"/>
                              <w:marBottom w:val="0"/>
                              <w:divBdr>
                                <w:top w:val="none" w:sz="0" w:space="0" w:color="auto"/>
                                <w:left w:val="none" w:sz="0" w:space="0" w:color="auto"/>
                                <w:bottom w:val="none" w:sz="0" w:space="0" w:color="auto"/>
                                <w:right w:val="none" w:sz="0" w:space="0" w:color="auto"/>
                              </w:divBdr>
                              <w:divsChild>
                                <w:div w:id="930746002">
                                  <w:marLeft w:val="0"/>
                                  <w:marRight w:val="0"/>
                                  <w:marTop w:val="0"/>
                                  <w:marBottom w:val="0"/>
                                  <w:divBdr>
                                    <w:top w:val="none" w:sz="0" w:space="0" w:color="auto"/>
                                    <w:left w:val="none" w:sz="0" w:space="0" w:color="auto"/>
                                    <w:bottom w:val="none" w:sz="0" w:space="0" w:color="auto"/>
                                    <w:right w:val="none" w:sz="0" w:space="0" w:color="auto"/>
                                  </w:divBdr>
                                </w:div>
                                <w:div w:id="96096244">
                                  <w:marLeft w:val="0"/>
                                  <w:marRight w:val="0"/>
                                  <w:marTop w:val="0"/>
                                  <w:marBottom w:val="0"/>
                                  <w:divBdr>
                                    <w:top w:val="none" w:sz="0" w:space="0" w:color="auto"/>
                                    <w:left w:val="none" w:sz="0" w:space="0" w:color="auto"/>
                                    <w:bottom w:val="none" w:sz="0" w:space="0" w:color="auto"/>
                                    <w:right w:val="none" w:sz="0" w:space="0" w:color="auto"/>
                                  </w:divBdr>
                                </w:div>
                              </w:divsChild>
                            </w:div>
                            <w:div w:id="1724793406">
                              <w:marLeft w:val="0"/>
                              <w:marRight w:val="0"/>
                              <w:marTop w:val="0"/>
                              <w:marBottom w:val="0"/>
                              <w:divBdr>
                                <w:top w:val="none" w:sz="0" w:space="0" w:color="auto"/>
                                <w:left w:val="none" w:sz="0" w:space="0" w:color="auto"/>
                                <w:bottom w:val="none" w:sz="0" w:space="0" w:color="auto"/>
                                <w:right w:val="none" w:sz="0" w:space="0" w:color="auto"/>
                              </w:divBdr>
                              <w:divsChild>
                                <w:div w:id="714817953">
                                  <w:marLeft w:val="0"/>
                                  <w:marRight w:val="0"/>
                                  <w:marTop w:val="0"/>
                                  <w:marBottom w:val="0"/>
                                  <w:divBdr>
                                    <w:top w:val="none" w:sz="0" w:space="0" w:color="auto"/>
                                    <w:left w:val="none" w:sz="0" w:space="0" w:color="auto"/>
                                    <w:bottom w:val="none" w:sz="0" w:space="0" w:color="auto"/>
                                    <w:right w:val="none" w:sz="0" w:space="0" w:color="auto"/>
                                  </w:divBdr>
                                </w:div>
                                <w:div w:id="1639146215">
                                  <w:marLeft w:val="0"/>
                                  <w:marRight w:val="0"/>
                                  <w:marTop w:val="0"/>
                                  <w:marBottom w:val="0"/>
                                  <w:divBdr>
                                    <w:top w:val="none" w:sz="0" w:space="0" w:color="auto"/>
                                    <w:left w:val="none" w:sz="0" w:space="0" w:color="auto"/>
                                    <w:bottom w:val="none" w:sz="0" w:space="0" w:color="auto"/>
                                    <w:right w:val="none" w:sz="0" w:space="0" w:color="auto"/>
                                  </w:divBdr>
                                </w:div>
                              </w:divsChild>
                            </w:div>
                            <w:div w:id="36588495">
                              <w:marLeft w:val="0"/>
                              <w:marRight w:val="0"/>
                              <w:marTop w:val="0"/>
                              <w:marBottom w:val="0"/>
                              <w:divBdr>
                                <w:top w:val="none" w:sz="0" w:space="0" w:color="auto"/>
                                <w:left w:val="none" w:sz="0" w:space="0" w:color="auto"/>
                                <w:bottom w:val="none" w:sz="0" w:space="0" w:color="auto"/>
                                <w:right w:val="none" w:sz="0" w:space="0" w:color="auto"/>
                              </w:divBdr>
                              <w:divsChild>
                                <w:div w:id="1608662413">
                                  <w:marLeft w:val="0"/>
                                  <w:marRight w:val="0"/>
                                  <w:marTop w:val="0"/>
                                  <w:marBottom w:val="0"/>
                                  <w:divBdr>
                                    <w:top w:val="none" w:sz="0" w:space="0" w:color="auto"/>
                                    <w:left w:val="none" w:sz="0" w:space="0" w:color="auto"/>
                                    <w:bottom w:val="none" w:sz="0" w:space="0" w:color="auto"/>
                                    <w:right w:val="none" w:sz="0" w:space="0" w:color="auto"/>
                                  </w:divBdr>
                                </w:div>
                                <w:div w:id="1500805565">
                                  <w:marLeft w:val="0"/>
                                  <w:marRight w:val="0"/>
                                  <w:marTop w:val="0"/>
                                  <w:marBottom w:val="0"/>
                                  <w:divBdr>
                                    <w:top w:val="none" w:sz="0" w:space="0" w:color="auto"/>
                                    <w:left w:val="none" w:sz="0" w:space="0" w:color="auto"/>
                                    <w:bottom w:val="none" w:sz="0" w:space="0" w:color="auto"/>
                                    <w:right w:val="none" w:sz="0" w:space="0" w:color="auto"/>
                                  </w:divBdr>
                                </w:div>
                              </w:divsChild>
                            </w:div>
                            <w:div w:id="355277389">
                              <w:marLeft w:val="0"/>
                              <w:marRight w:val="0"/>
                              <w:marTop w:val="0"/>
                              <w:marBottom w:val="0"/>
                              <w:divBdr>
                                <w:top w:val="none" w:sz="0" w:space="0" w:color="auto"/>
                                <w:left w:val="none" w:sz="0" w:space="0" w:color="auto"/>
                                <w:bottom w:val="none" w:sz="0" w:space="0" w:color="auto"/>
                                <w:right w:val="none" w:sz="0" w:space="0" w:color="auto"/>
                              </w:divBdr>
                              <w:divsChild>
                                <w:div w:id="1635063511">
                                  <w:marLeft w:val="0"/>
                                  <w:marRight w:val="0"/>
                                  <w:marTop w:val="0"/>
                                  <w:marBottom w:val="0"/>
                                  <w:divBdr>
                                    <w:top w:val="none" w:sz="0" w:space="0" w:color="auto"/>
                                    <w:left w:val="none" w:sz="0" w:space="0" w:color="auto"/>
                                    <w:bottom w:val="none" w:sz="0" w:space="0" w:color="auto"/>
                                    <w:right w:val="none" w:sz="0" w:space="0" w:color="auto"/>
                                  </w:divBdr>
                                </w:div>
                                <w:div w:id="1167212789">
                                  <w:marLeft w:val="0"/>
                                  <w:marRight w:val="0"/>
                                  <w:marTop w:val="0"/>
                                  <w:marBottom w:val="0"/>
                                  <w:divBdr>
                                    <w:top w:val="none" w:sz="0" w:space="0" w:color="auto"/>
                                    <w:left w:val="none" w:sz="0" w:space="0" w:color="auto"/>
                                    <w:bottom w:val="none" w:sz="0" w:space="0" w:color="auto"/>
                                    <w:right w:val="none" w:sz="0" w:space="0" w:color="auto"/>
                                  </w:divBdr>
                                </w:div>
                              </w:divsChild>
                            </w:div>
                            <w:div w:id="1638532999">
                              <w:marLeft w:val="0"/>
                              <w:marRight w:val="0"/>
                              <w:marTop w:val="0"/>
                              <w:marBottom w:val="0"/>
                              <w:divBdr>
                                <w:top w:val="none" w:sz="0" w:space="0" w:color="auto"/>
                                <w:left w:val="none" w:sz="0" w:space="0" w:color="auto"/>
                                <w:bottom w:val="none" w:sz="0" w:space="0" w:color="auto"/>
                                <w:right w:val="none" w:sz="0" w:space="0" w:color="auto"/>
                              </w:divBdr>
                              <w:divsChild>
                                <w:div w:id="2120101030">
                                  <w:marLeft w:val="0"/>
                                  <w:marRight w:val="0"/>
                                  <w:marTop w:val="0"/>
                                  <w:marBottom w:val="0"/>
                                  <w:divBdr>
                                    <w:top w:val="none" w:sz="0" w:space="0" w:color="auto"/>
                                    <w:left w:val="none" w:sz="0" w:space="0" w:color="auto"/>
                                    <w:bottom w:val="none" w:sz="0" w:space="0" w:color="auto"/>
                                    <w:right w:val="none" w:sz="0" w:space="0" w:color="auto"/>
                                  </w:divBdr>
                                </w:div>
                                <w:div w:id="1803302051">
                                  <w:marLeft w:val="0"/>
                                  <w:marRight w:val="0"/>
                                  <w:marTop w:val="0"/>
                                  <w:marBottom w:val="0"/>
                                  <w:divBdr>
                                    <w:top w:val="none" w:sz="0" w:space="0" w:color="auto"/>
                                    <w:left w:val="none" w:sz="0" w:space="0" w:color="auto"/>
                                    <w:bottom w:val="none" w:sz="0" w:space="0" w:color="auto"/>
                                    <w:right w:val="none" w:sz="0" w:space="0" w:color="auto"/>
                                  </w:divBdr>
                                </w:div>
                              </w:divsChild>
                            </w:div>
                            <w:div w:id="794099718">
                              <w:marLeft w:val="0"/>
                              <w:marRight w:val="0"/>
                              <w:marTop w:val="0"/>
                              <w:marBottom w:val="0"/>
                              <w:divBdr>
                                <w:top w:val="none" w:sz="0" w:space="0" w:color="auto"/>
                                <w:left w:val="none" w:sz="0" w:space="0" w:color="auto"/>
                                <w:bottom w:val="none" w:sz="0" w:space="0" w:color="auto"/>
                                <w:right w:val="none" w:sz="0" w:space="0" w:color="auto"/>
                              </w:divBdr>
                              <w:divsChild>
                                <w:div w:id="1337612551">
                                  <w:marLeft w:val="0"/>
                                  <w:marRight w:val="0"/>
                                  <w:marTop w:val="0"/>
                                  <w:marBottom w:val="0"/>
                                  <w:divBdr>
                                    <w:top w:val="none" w:sz="0" w:space="0" w:color="auto"/>
                                    <w:left w:val="none" w:sz="0" w:space="0" w:color="auto"/>
                                    <w:bottom w:val="none" w:sz="0" w:space="0" w:color="auto"/>
                                    <w:right w:val="none" w:sz="0" w:space="0" w:color="auto"/>
                                  </w:divBdr>
                                </w:div>
                                <w:div w:id="62025313">
                                  <w:marLeft w:val="0"/>
                                  <w:marRight w:val="0"/>
                                  <w:marTop w:val="0"/>
                                  <w:marBottom w:val="0"/>
                                  <w:divBdr>
                                    <w:top w:val="none" w:sz="0" w:space="0" w:color="auto"/>
                                    <w:left w:val="none" w:sz="0" w:space="0" w:color="auto"/>
                                    <w:bottom w:val="none" w:sz="0" w:space="0" w:color="auto"/>
                                    <w:right w:val="none" w:sz="0" w:space="0" w:color="auto"/>
                                  </w:divBdr>
                                </w:div>
                              </w:divsChild>
                            </w:div>
                            <w:div w:id="891036283">
                              <w:marLeft w:val="0"/>
                              <w:marRight w:val="0"/>
                              <w:marTop w:val="0"/>
                              <w:marBottom w:val="0"/>
                              <w:divBdr>
                                <w:top w:val="none" w:sz="0" w:space="0" w:color="auto"/>
                                <w:left w:val="none" w:sz="0" w:space="0" w:color="auto"/>
                                <w:bottom w:val="none" w:sz="0" w:space="0" w:color="auto"/>
                                <w:right w:val="none" w:sz="0" w:space="0" w:color="auto"/>
                              </w:divBdr>
                              <w:divsChild>
                                <w:div w:id="6097890">
                                  <w:marLeft w:val="0"/>
                                  <w:marRight w:val="0"/>
                                  <w:marTop w:val="0"/>
                                  <w:marBottom w:val="0"/>
                                  <w:divBdr>
                                    <w:top w:val="none" w:sz="0" w:space="0" w:color="auto"/>
                                    <w:left w:val="none" w:sz="0" w:space="0" w:color="auto"/>
                                    <w:bottom w:val="none" w:sz="0" w:space="0" w:color="auto"/>
                                    <w:right w:val="none" w:sz="0" w:space="0" w:color="auto"/>
                                  </w:divBdr>
                                </w:div>
                                <w:div w:id="1444152258">
                                  <w:marLeft w:val="0"/>
                                  <w:marRight w:val="0"/>
                                  <w:marTop w:val="0"/>
                                  <w:marBottom w:val="0"/>
                                  <w:divBdr>
                                    <w:top w:val="none" w:sz="0" w:space="0" w:color="auto"/>
                                    <w:left w:val="none" w:sz="0" w:space="0" w:color="auto"/>
                                    <w:bottom w:val="none" w:sz="0" w:space="0" w:color="auto"/>
                                    <w:right w:val="none" w:sz="0" w:space="0" w:color="auto"/>
                                  </w:divBdr>
                                </w:div>
                              </w:divsChild>
                            </w:div>
                            <w:div w:id="1374188671">
                              <w:marLeft w:val="0"/>
                              <w:marRight w:val="0"/>
                              <w:marTop w:val="0"/>
                              <w:marBottom w:val="0"/>
                              <w:divBdr>
                                <w:top w:val="none" w:sz="0" w:space="0" w:color="auto"/>
                                <w:left w:val="none" w:sz="0" w:space="0" w:color="auto"/>
                                <w:bottom w:val="none" w:sz="0" w:space="0" w:color="auto"/>
                                <w:right w:val="none" w:sz="0" w:space="0" w:color="auto"/>
                              </w:divBdr>
                              <w:divsChild>
                                <w:div w:id="1805148861">
                                  <w:marLeft w:val="0"/>
                                  <w:marRight w:val="0"/>
                                  <w:marTop w:val="0"/>
                                  <w:marBottom w:val="0"/>
                                  <w:divBdr>
                                    <w:top w:val="none" w:sz="0" w:space="0" w:color="auto"/>
                                    <w:left w:val="none" w:sz="0" w:space="0" w:color="auto"/>
                                    <w:bottom w:val="none" w:sz="0" w:space="0" w:color="auto"/>
                                    <w:right w:val="none" w:sz="0" w:space="0" w:color="auto"/>
                                  </w:divBdr>
                                </w:div>
                                <w:div w:id="228806747">
                                  <w:marLeft w:val="0"/>
                                  <w:marRight w:val="0"/>
                                  <w:marTop w:val="0"/>
                                  <w:marBottom w:val="0"/>
                                  <w:divBdr>
                                    <w:top w:val="none" w:sz="0" w:space="0" w:color="auto"/>
                                    <w:left w:val="none" w:sz="0" w:space="0" w:color="auto"/>
                                    <w:bottom w:val="none" w:sz="0" w:space="0" w:color="auto"/>
                                    <w:right w:val="none" w:sz="0" w:space="0" w:color="auto"/>
                                  </w:divBdr>
                                </w:div>
                              </w:divsChild>
                            </w:div>
                            <w:div w:id="1744639098">
                              <w:marLeft w:val="0"/>
                              <w:marRight w:val="0"/>
                              <w:marTop w:val="0"/>
                              <w:marBottom w:val="0"/>
                              <w:divBdr>
                                <w:top w:val="none" w:sz="0" w:space="0" w:color="auto"/>
                                <w:left w:val="none" w:sz="0" w:space="0" w:color="auto"/>
                                <w:bottom w:val="none" w:sz="0" w:space="0" w:color="auto"/>
                                <w:right w:val="none" w:sz="0" w:space="0" w:color="auto"/>
                              </w:divBdr>
                              <w:divsChild>
                                <w:div w:id="1444227629">
                                  <w:marLeft w:val="0"/>
                                  <w:marRight w:val="0"/>
                                  <w:marTop w:val="0"/>
                                  <w:marBottom w:val="0"/>
                                  <w:divBdr>
                                    <w:top w:val="none" w:sz="0" w:space="0" w:color="auto"/>
                                    <w:left w:val="none" w:sz="0" w:space="0" w:color="auto"/>
                                    <w:bottom w:val="none" w:sz="0" w:space="0" w:color="auto"/>
                                    <w:right w:val="none" w:sz="0" w:space="0" w:color="auto"/>
                                  </w:divBdr>
                                </w:div>
                                <w:div w:id="96827016">
                                  <w:marLeft w:val="0"/>
                                  <w:marRight w:val="0"/>
                                  <w:marTop w:val="0"/>
                                  <w:marBottom w:val="0"/>
                                  <w:divBdr>
                                    <w:top w:val="none" w:sz="0" w:space="0" w:color="auto"/>
                                    <w:left w:val="none" w:sz="0" w:space="0" w:color="auto"/>
                                    <w:bottom w:val="none" w:sz="0" w:space="0" w:color="auto"/>
                                    <w:right w:val="none" w:sz="0" w:space="0" w:color="auto"/>
                                  </w:divBdr>
                                </w:div>
                              </w:divsChild>
                            </w:div>
                            <w:div w:id="626353085">
                              <w:marLeft w:val="0"/>
                              <w:marRight w:val="0"/>
                              <w:marTop w:val="0"/>
                              <w:marBottom w:val="0"/>
                              <w:divBdr>
                                <w:top w:val="none" w:sz="0" w:space="0" w:color="auto"/>
                                <w:left w:val="none" w:sz="0" w:space="0" w:color="auto"/>
                                <w:bottom w:val="none" w:sz="0" w:space="0" w:color="auto"/>
                                <w:right w:val="none" w:sz="0" w:space="0" w:color="auto"/>
                              </w:divBdr>
                              <w:divsChild>
                                <w:div w:id="658732868">
                                  <w:marLeft w:val="0"/>
                                  <w:marRight w:val="0"/>
                                  <w:marTop w:val="0"/>
                                  <w:marBottom w:val="0"/>
                                  <w:divBdr>
                                    <w:top w:val="none" w:sz="0" w:space="0" w:color="auto"/>
                                    <w:left w:val="none" w:sz="0" w:space="0" w:color="auto"/>
                                    <w:bottom w:val="none" w:sz="0" w:space="0" w:color="auto"/>
                                    <w:right w:val="none" w:sz="0" w:space="0" w:color="auto"/>
                                  </w:divBdr>
                                </w:div>
                                <w:div w:id="638847194">
                                  <w:marLeft w:val="0"/>
                                  <w:marRight w:val="0"/>
                                  <w:marTop w:val="0"/>
                                  <w:marBottom w:val="0"/>
                                  <w:divBdr>
                                    <w:top w:val="none" w:sz="0" w:space="0" w:color="auto"/>
                                    <w:left w:val="none" w:sz="0" w:space="0" w:color="auto"/>
                                    <w:bottom w:val="none" w:sz="0" w:space="0" w:color="auto"/>
                                    <w:right w:val="none" w:sz="0" w:space="0" w:color="auto"/>
                                  </w:divBdr>
                                </w:div>
                              </w:divsChild>
                            </w:div>
                            <w:div w:id="1338000734">
                              <w:marLeft w:val="0"/>
                              <w:marRight w:val="0"/>
                              <w:marTop w:val="0"/>
                              <w:marBottom w:val="0"/>
                              <w:divBdr>
                                <w:top w:val="none" w:sz="0" w:space="0" w:color="auto"/>
                                <w:left w:val="none" w:sz="0" w:space="0" w:color="auto"/>
                                <w:bottom w:val="none" w:sz="0" w:space="0" w:color="auto"/>
                                <w:right w:val="none" w:sz="0" w:space="0" w:color="auto"/>
                              </w:divBdr>
                              <w:divsChild>
                                <w:div w:id="1852446430">
                                  <w:marLeft w:val="0"/>
                                  <w:marRight w:val="0"/>
                                  <w:marTop w:val="0"/>
                                  <w:marBottom w:val="0"/>
                                  <w:divBdr>
                                    <w:top w:val="none" w:sz="0" w:space="0" w:color="auto"/>
                                    <w:left w:val="none" w:sz="0" w:space="0" w:color="auto"/>
                                    <w:bottom w:val="none" w:sz="0" w:space="0" w:color="auto"/>
                                    <w:right w:val="none" w:sz="0" w:space="0" w:color="auto"/>
                                  </w:divBdr>
                                </w:div>
                                <w:div w:id="1267541937">
                                  <w:marLeft w:val="0"/>
                                  <w:marRight w:val="0"/>
                                  <w:marTop w:val="0"/>
                                  <w:marBottom w:val="0"/>
                                  <w:divBdr>
                                    <w:top w:val="none" w:sz="0" w:space="0" w:color="auto"/>
                                    <w:left w:val="none" w:sz="0" w:space="0" w:color="auto"/>
                                    <w:bottom w:val="none" w:sz="0" w:space="0" w:color="auto"/>
                                    <w:right w:val="none" w:sz="0" w:space="0" w:color="auto"/>
                                  </w:divBdr>
                                </w:div>
                              </w:divsChild>
                            </w:div>
                            <w:div w:id="751242021">
                              <w:marLeft w:val="0"/>
                              <w:marRight w:val="0"/>
                              <w:marTop w:val="0"/>
                              <w:marBottom w:val="0"/>
                              <w:divBdr>
                                <w:top w:val="none" w:sz="0" w:space="0" w:color="auto"/>
                                <w:left w:val="none" w:sz="0" w:space="0" w:color="auto"/>
                                <w:bottom w:val="none" w:sz="0" w:space="0" w:color="auto"/>
                                <w:right w:val="none" w:sz="0" w:space="0" w:color="auto"/>
                              </w:divBdr>
                              <w:divsChild>
                                <w:div w:id="1121461645">
                                  <w:marLeft w:val="0"/>
                                  <w:marRight w:val="0"/>
                                  <w:marTop w:val="0"/>
                                  <w:marBottom w:val="0"/>
                                  <w:divBdr>
                                    <w:top w:val="none" w:sz="0" w:space="0" w:color="auto"/>
                                    <w:left w:val="none" w:sz="0" w:space="0" w:color="auto"/>
                                    <w:bottom w:val="none" w:sz="0" w:space="0" w:color="auto"/>
                                    <w:right w:val="none" w:sz="0" w:space="0" w:color="auto"/>
                                  </w:divBdr>
                                </w:div>
                                <w:div w:id="484586891">
                                  <w:marLeft w:val="0"/>
                                  <w:marRight w:val="0"/>
                                  <w:marTop w:val="0"/>
                                  <w:marBottom w:val="0"/>
                                  <w:divBdr>
                                    <w:top w:val="none" w:sz="0" w:space="0" w:color="auto"/>
                                    <w:left w:val="none" w:sz="0" w:space="0" w:color="auto"/>
                                    <w:bottom w:val="none" w:sz="0" w:space="0" w:color="auto"/>
                                    <w:right w:val="none" w:sz="0" w:space="0" w:color="auto"/>
                                  </w:divBdr>
                                </w:div>
                              </w:divsChild>
                            </w:div>
                            <w:div w:id="1707900774">
                              <w:marLeft w:val="0"/>
                              <w:marRight w:val="0"/>
                              <w:marTop w:val="0"/>
                              <w:marBottom w:val="0"/>
                              <w:divBdr>
                                <w:top w:val="none" w:sz="0" w:space="0" w:color="auto"/>
                                <w:left w:val="none" w:sz="0" w:space="0" w:color="auto"/>
                                <w:bottom w:val="none" w:sz="0" w:space="0" w:color="auto"/>
                                <w:right w:val="none" w:sz="0" w:space="0" w:color="auto"/>
                              </w:divBdr>
                              <w:divsChild>
                                <w:div w:id="99834602">
                                  <w:marLeft w:val="0"/>
                                  <w:marRight w:val="0"/>
                                  <w:marTop w:val="0"/>
                                  <w:marBottom w:val="0"/>
                                  <w:divBdr>
                                    <w:top w:val="none" w:sz="0" w:space="0" w:color="auto"/>
                                    <w:left w:val="none" w:sz="0" w:space="0" w:color="auto"/>
                                    <w:bottom w:val="none" w:sz="0" w:space="0" w:color="auto"/>
                                    <w:right w:val="none" w:sz="0" w:space="0" w:color="auto"/>
                                  </w:divBdr>
                                </w:div>
                                <w:div w:id="1622223274">
                                  <w:marLeft w:val="0"/>
                                  <w:marRight w:val="0"/>
                                  <w:marTop w:val="0"/>
                                  <w:marBottom w:val="0"/>
                                  <w:divBdr>
                                    <w:top w:val="none" w:sz="0" w:space="0" w:color="auto"/>
                                    <w:left w:val="none" w:sz="0" w:space="0" w:color="auto"/>
                                    <w:bottom w:val="none" w:sz="0" w:space="0" w:color="auto"/>
                                    <w:right w:val="none" w:sz="0" w:space="0" w:color="auto"/>
                                  </w:divBdr>
                                </w:div>
                              </w:divsChild>
                            </w:div>
                            <w:div w:id="1920946002">
                              <w:marLeft w:val="0"/>
                              <w:marRight w:val="0"/>
                              <w:marTop w:val="0"/>
                              <w:marBottom w:val="0"/>
                              <w:divBdr>
                                <w:top w:val="none" w:sz="0" w:space="0" w:color="auto"/>
                                <w:left w:val="none" w:sz="0" w:space="0" w:color="auto"/>
                                <w:bottom w:val="none" w:sz="0" w:space="0" w:color="auto"/>
                                <w:right w:val="none" w:sz="0" w:space="0" w:color="auto"/>
                              </w:divBdr>
                              <w:divsChild>
                                <w:div w:id="2102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9024</Words>
  <Characters>51439</Characters>
  <Application>Microsoft Office Word</Application>
  <DocSecurity>0</DocSecurity>
  <Lines>428</Lines>
  <Paragraphs>120</Paragraphs>
  <ScaleCrop>false</ScaleCrop>
  <Company>Hewlett-Packard</Company>
  <LinksUpToDate>false</LinksUpToDate>
  <CharactersWithSpaces>60343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G62 611080</dc:creator>
  <cp:keywords/>
  <dc:description/>
  <cp:lastModifiedBy>HP G62 611080</cp:lastModifiedBy>
  <cp:revision>4</cp:revision>
  <dcterms:created xsi:type="dcterms:W3CDTF">2011-12-25T17:20:00Z</dcterms:created>
  <dcterms:modified xsi:type="dcterms:W3CDTF">2012-01-14T18:01:00Z</dcterms:modified>
</cp:coreProperties>
</file>