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FC" w:rsidRPr="00F97703" w:rsidRDefault="00D94AFC">
      <w:pPr>
        <w:rPr>
          <w:rFonts w:ascii="Book Antiqua" w:hAnsi="Book Antiqua" w:cs="Arial"/>
          <w:color w:val="000000"/>
          <w:sz w:val="16"/>
          <w:szCs w:val="16"/>
        </w:rPr>
      </w:pPr>
    </w:p>
    <w:p w:rsidR="00F97703" w:rsidRPr="00F97703" w:rsidRDefault="00611011" w:rsidP="00521FAD">
      <w:pPr>
        <w:tabs>
          <w:tab w:val="right" w:pos="9720"/>
        </w:tabs>
        <w:ind w:right="-82"/>
        <w:outlineLvl w:val="0"/>
        <w:rPr>
          <w:rFonts w:ascii="Book Antiqua" w:hAnsi="Book Antiqua" w:cs="Arial"/>
          <w:b/>
          <w:color w:val="000000"/>
        </w:rPr>
      </w:pPr>
      <w:r>
        <w:rPr>
          <w:rFonts w:ascii="Book Antiqua" w:hAnsi="Book Antiqua" w:cs="Arial"/>
          <w:b/>
          <w:color w:val="000000"/>
        </w:rPr>
        <w:t>Upper</w:t>
      </w:r>
      <w:r w:rsidR="00F97703" w:rsidRPr="00F97703">
        <w:rPr>
          <w:rFonts w:ascii="Book Antiqua" w:hAnsi="Book Antiqua" w:cs="Arial"/>
          <w:b/>
          <w:color w:val="000000"/>
        </w:rPr>
        <w:t xml:space="preserve"> Tribunal </w:t>
      </w:r>
    </w:p>
    <w:p w:rsidR="00663262" w:rsidRDefault="00F97703" w:rsidP="00780F86">
      <w:pPr>
        <w:tabs>
          <w:tab w:val="right" w:pos="9720"/>
        </w:tabs>
        <w:ind w:right="-82"/>
        <w:rPr>
          <w:rFonts w:ascii="Book Antiqua" w:hAnsi="Book Antiqua" w:cs="Arial"/>
          <w:b/>
          <w:color w:val="000000"/>
        </w:rPr>
      </w:pPr>
      <w:r w:rsidRPr="00F97703">
        <w:rPr>
          <w:rFonts w:ascii="Book Antiqua" w:hAnsi="Book Antiqua" w:cs="Arial"/>
          <w:b/>
          <w:color w:val="000000"/>
        </w:rPr>
        <w:t>(Immigration and Asylum Chamber)</w:t>
      </w:r>
      <w:r w:rsidR="00DB70AE" w:rsidRPr="00F97703">
        <w:rPr>
          <w:rFonts w:ascii="Book Antiqua" w:hAnsi="Book Antiqua" w:cs="Arial"/>
          <w:b/>
          <w:color w:val="000000"/>
        </w:rPr>
        <w:tab/>
      </w:r>
    </w:p>
    <w:p w:rsidR="00663262" w:rsidRDefault="00663262" w:rsidP="00780F86">
      <w:pPr>
        <w:tabs>
          <w:tab w:val="right" w:pos="9720"/>
        </w:tabs>
        <w:ind w:right="-82"/>
        <w:rPr>
          <w:rFonts w:ascii="Book Antiqua" w:hAnsi="Book Antiqua" w:cs="Arial"/>
          <w:b/>
          <w:color w:val="000000"/>
        </w:rPr>
      </w:pPr>
    </w:p>
    <w:p w:rsidR="007B0824" w:rsidRPr="00F97703" w:rsidRDefault="00385AB3" w:rsidP="00663262">
      <w:pPr>
        <w:tabs>
          <w:tab w:val="right" w:pos="9720"/>
        </w:tabs>
        <w:ind w:right="-82"/>
        <w:jc w:val="center"/>
        <w:rPr>
          <w:rFonts w:ascii="Book Antiqua" w:hAnsi="Book Antiqua" w:cs="Arial"/>
          <w:color w:val="000000"/>
        </w:rPr>
      </w:pPr>
      <w:r>
        <w:rPr>
          <w:rFonts w:ascii="Book Antiqua" w:hAnsi="Book Antiqua" w:cs="Arial"/>
          <w:color w:val="000000"/>
        </w:rPr>
        <w:t>Izuazu (Article 8 – new rules)</w:t>
      </w:r>
      <w:r w:rsidR="00DE4B33" w:rsidRPr="00F97703">
        <w:rPr>
          <w:rFonts w:ascii="Book Antiqua" w:hAnsi="Book Antiqua" w:cs="Arial"/>
          <w:color w:val="000000"/>
        </w:rPr>
        <w:t xml:space="preserve"> </w:t>
      </w:r>
      <w:r w:rsidR="00663262">
        <w:rPr>
          <w:rFonts w:ascii="Book Antiqua" w:hAnsi="Book Antiqua" w:cs="Arial"/>
          <w:color w:val="000000"/>
        </w:rPr>
        <w:t>[2013] UKUT 00045 (IAC)</w:t>
      </w:r>
    </w:p>
    <w:p w:rsidR="00C345E1" w:rsidRPr="00F97703" w:rsidRDefault="00C345E1" w:rsidP="00C345E1">
      <w:pPr>
        <w:jc w:val="center"/>
        <w:rPr>
          <w:rFonts w:ascii="Book Antiqua" w:hAnsi="Book Antiqua" w:cs="Arial"/>
          <w:color w:val="000000"/>
        </w:rPr>
      </w:pPr>
    </w:p>
    <w:p w:rsidR="00C345E1" w:rsidRPr="00F97703" w:rsidRDefault="00C345E1" w:rsidP="00521FAD">
      <w:pPr>
        <w:jc w:val="center"/>
        <w:outlineLvl w:val="0"/>
        <w:rPr>
          <w:rFonts w:ascii="Book Antiqua" w:hAnsi="Book Antiqua" w:cs="Arial"/>
          <w:b/>
          <w:color w:val="000000"/>
          <w:u w:val="single"/>
        </w:rPr>
      </w:pPr>
      <w:r w:rsidRPr="00F97703">
        <w:rPr>
          <w:rFonts w:ascii="Book Antiqua" w:hAnsi="Book Antiqua" w:cs="Arial"/>
          <w:b/>
          <w:color w:val="000000"/>
          <w:u w:val="single"/>
        </w:rPr>
        <w:t>THE IMMIGRATION ACTS</w:t>
      </w:r>
    </w:p>
    <w:p w:rsidR="00C345E1" w:rsidRPr="00F97703" w:rsidRDefault="00C345E1" w:rsidP="00C345E1">
      <w:pPr>
        <w:jc w:val="center"/>
        <w:rPr>
          <w:rFonts w:ascii="Book Antiqua" w:hAnsi="Book Antiqua"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48"/>
        <w:gridCol w:w="3780"/>
      </w:tblGrid>
      <w:tr w:rsidR="00D22636" w:rsidRPr="00F97703">
        <w:tc>
          <w:tcPr>
            <w:tcW w:w="6048" w:type="dxa"/>
          </w:tcPr>
          <w:p w:rsidR="00D22636" w:rsidRPr="00F97703" w:rsidRDefault="00D22636" w:rsidP="004A1848">
            <w:pPr>
              <w:jc w:val="both"/>
              <w:rPr>
                <w:rFonts w:ascii="Book Antiqua" w:hAnsi="Book Antiqua" w:cs="Arial"/>
                <w:b/>
              </w:rPr>
            </w:pPr>
            <w:r w:rsidRPr="00F97703">
              <w:rPr>
                <w:rFonts w:ascii="Book Antiqua" w:hAnsi="Book Antiqua" w:cs="Arial"/>
                <w:b/>
              </w:rPr>
              <w:t xml:space="preserve">Heard at </w:t>
            </w:r>
            <w:r w:rsidR="0074735A">
              <w:rPr>
                <w:rFonts w:ascii="Book Antiqua" w:hAnsi="Book Antiqua" w:cs="Arial"/>
                <w:b/>
              </w:rPr>
              <w:t>Field House</w:t>
            </w:r>
          </w:p>
        </w:tc>
        <w:tc>
          <w:tcPr>
            <w:tcW w:w="3780" w:type="dxa"/>
          </w:tcPr>
          <w:p w:rsidR="00D22636" w:rsidRPr="00F97703" w:rsidRDefault="00283659" w:rsidP="00093D4D">
            <w:pPr>
              <w:jc w:val="both"/>
              <w:rPr>
                <w:rFonts w:ascii="Book Antiqua" w:hAnsi="Book Antiqua" w:cs="Arial"/>
                <w:b/>
                <w:color w:val="000000"/>
              </w:rPr>
            </w:pPr>
            <w:r w:rsidRPr="00F97703">
              <w:rPr>
                <w:rFonts w:ascii="Book Antiqua" w:hAnsi="Book Antiqua" w:cs="Arial"/>
                <w:b/>
                <w:color w:val="000000"/>
              </w:rPr>
              <w:t>Determination Promulgated</w:t>
            </w:r>
          </w:p>
        </w:tc>
      </w:tr>
      <w:tr w:rsidR="00D22636" w:rsidRPr="00F97703">
        <w:tc>
          <w:tcPr>
            <w:tcW w:w="6048" w:type="dxa"/>
          </w:tcPr>
          <w:p w:rsidR="00D22636" w:rsidRPr="00F97703" w:rsidRDefault="00D22636" w:rsidP="004A1848">
            <w:pPr>
              <w:jc w:val="both"/>
              <w:rPr>
                <w:rFonts w:ascii="Book Antiqua" w:hAnsi="Book Antiqua" w:cs="Arial"/>
                <w:b/>
              </w:rPr>
            </w:pPr>
            <w:r w:rsidRPr="00F97703">
              <w:rPr>
                <w:rFonts w:ascii="Book Antiqua" w:hAnsi="Book Antiqua" w:cs="Arial"/>
                <w:b/>
              </w:rPr>
              <w:t xml:space="preserve">On </w:t>
            </w:r>
            <w:r w:rsidR="00DE4B33">
              <w:rPr>
                <w:rFonts w:ascii="Book Antiqua" w:hAnsi="Book Antiqua" w:cs="Arial"/>
                <w:b/>
              </w:rPr>
              <w:t xml:space="preserve">9 October </w:t>
            </w:r>
            <w:r w:rsidR="00692BEF">
              <w:rPr>
                <w:rFonts w:ascii="Book Antiqua" w:hAnsi="Book Antiqua" w:cs="Arial"/>
                <w:b/>
              </w:rPr>
              <w:t>2012</w:t>
            </w:r>
          </w:p>
        </w:tc>
        <w:tc>
          <w:tcPr>
            <w:tcW w:w="3780" w:type="dxa"/>
          </w:tcPr>
          <w:p w:rsidR="00D22636" w:rsidRPr="00F97703" w:rsidRDefault="00D22636" w:rsidP="004A1848">
            <w:pPr>
              <w:jc w:val="both"/>
              <w:rPr>
                <w:rFonts w:ascii="Book Antiqua" w:hAnsi="Book Antiqua" w:cs="Arial"/>
                <w:b/>
              </w:rPr>
            </w:pPr>
          </w:p>
        </w:tc>
      </w:tr>
      <w:tr w:rsidR="00D22636" w:rsidRPr="00F97703">
        <w:tc>
          <w:tcPr>
            <w:tcW w:w="6048" w:type="dxa"/>
          </w:tcPr>
          <w:p w:rsidR="00D22636" w:rsidRPr="00F97703" w:rsidRDefault="00D22636" w:rsidP="004A1848">
            <w:pPr>
              <w:jc w:val="both"/>
              <w:rPr>
                <w:rFonts w:ascii="Book Antiqua" w:hAnsi="Book Antiqua" w:cs="Arial"/>
                <w:b/>
              </w:rPr>
            </w:pPr>
          </w:p>
        </w:tc>
        <w:tc>
          <w:tcPr>
            <w:tcW w:w="3780" w:type="dxa"/>
          </w:tcPr>
          <w:p w:rsidR="00D22636" w:rsidRPr="00F97703" w:rsidRDefault="00283659" w:rsidP="004A1848">
            <w:pPr>
              <w:jc w:val="both"/>
              <w:rPr>
                <w:rFonts w:ascii="Book Antiqua" w:hAnsi="Book Antiqua" w:cs="Arial"/>
                <w:b/>
              </w:rPr>
            </w:pPr>
            <w:r w:rsidRPr="00F97703">
              <w:rPr>
                <w:rFonts w:ascii="Book Antiqua" w:hAnsi="Book Antiqua" w:cs="Arial"/>
              </w:rPr>
              <w:t>…………………………………</w:t>
            </w:r>
          </w:p>
        </w:tc>
      </w:tr>
    </w:tbl>
    <w:p w:rsidR="00A15234" w:rsidRPr="00F97703" w:rsidRDefault="00A15234" w:rsidP="00A15234">
      <w:pPr>
        <w:jc w:val="center"/>
        <w:rPr>
          <w:rFonts w:ascii="Book Antiqua" w:hAnsi="Book Antiqua" w:cs="Arial"/>
        </w:rPr>
      </w:pPr>
    </w:p>
    <w:p w:rsidR="00A15234" w:rsidRPr="00F97703" w:rsidRDefault="00207617" w:rsidP="00521FAD">
      <w:pPr>
        <w:jc w:val="center"/>
        <w:outlineLvl w:val="0"/>
        <w:rPr>
          <w:rFonts w:ascii="Book Antiqua" w:hAnsi="Book Antiqua" w:cs="Arial"/>
          <w:b/>
        </w:rPr>
      </w:pPr>
      <w:r w:rsidRPr="00F97703">
        <w:rPr>
          <w:rFonts w:ascii="Book Antiqua" w:hAnsi="Book Antiqua" w:cs="Arial"/>
          <w:b/>
        </w:rPr>
        <w:t>Befo</w:t>
      </w:r>
      <w:r w:rsidR="00A15234" w:rsidRPr="00F97703">
        <w:rPr>
          <w:rFonts w:ascii="Book Antiqua" w:hAnsi="Book Antiqua" w:cs="Arial"/>
          <w:b/>
        </w:rPr>
        <w:t>re</w:t>
      </w:r>
    </w:p>
    <w:p w:rsidR="00A15234" w:rsidRPr="00F97703" w:rsidRDefault="00A15234" w:rsidP="00A15234">
      <w:pPr>
        <w:jc w:val="center"/>
        <w:rPr>
          <w:rFonts w:ascii="Book Antiqua" w:hAnsi="Book Antiqua" w:cs="Arial"/>
          <w:b/>
        </w:rPr>
      </w:pPr>
    </w:p>
    <w:p w:rsidR="00D20757" w:rsidRDefault="0074735A" w:rsidP="004F7173">
      <w:pPr>
        <w:jc w:val="center"/>
        <w:outlineLvl w:val="0"/>
        <w:rPr>
          <w:rFonts w:ascii="Book Antiqua" w:hAnsi="Book Antiqua" w:cs="Arial"/>
          <w:b/>
          <w:color w:val="000000"/>
        </w:rPr>
      </w:pPr>
      <w:r>
        <w:rPr>
          <w:rFonts w:ascii="Book Antiqua" w:hAnsi="Book Antiqua" w:cs="Arial"/>
          <w:b/>
          <w:color w:val="000000"/>
        </w:rPr>
        <w:t>THE PRESIDENT</w:t>
      </w:r>
      <w:r w:rsidR="00F52CC8">
        <w:rPr>
          <w:rFonts w:ascii="Book Antiqua" w:hAnsi="Book Antiqua" w:cs="Arial"/>
          <w:b/>
          <w:color w:val="000000"/>
        </w:rPr>
        <w:t>, THE HON MR JUSTICE BLAKE</w:t>
      </w:r>
    </w:p>
    <w:p w:rsidR="00DE4B33" w:rsidRPr="00F97703" w:rsidRDefault="00DE4B33" w:rsidP="004F7173">
      <w:pPr>
        <w:ind w:left="540"/>
        <w:jc w:val="center"/>
        <w:rPr>
          <w:rFonts w:ascii="Book Antiqua" w:hAnsi="Book Antiqua" w:cs="Arial"/>
          <w:b/>
          <w:color w:val="000000"/>
        </w:rPr>
      </w:pPr>
      <w:r>
        <w:rPr>
          <w:rFonts w:ascii="Book Antiqua" w:hAnsi="Book Antiqua" w:cs="Arial"/>
          <w:b/>
          <w:color w:val="000000"/>
        </w:rPr>
        <w:t>LORD BANNATYNE</w:t>
      </w:r>
      <w:r w:rsidR="0042111A">
        <w:rPr>
          <w:rFonts w:ascii="Book Antiqua" w:hAnsi="Book Antiqua" w:cs="Arial"/>
          <w:b/>
          <w:color w:val="000000"/>
        </w:rPr>
        <w:t xml:space="preserve"> </w:t>
      </w:r>
    </w:p>
    <w:p w:rsidR="001B186A" w:rsidRPr="00F97703" w:rsidRDefault="00692BEF" w:rsidP="004F7173">
      <w:pPr>
        <w:jc w:val="center"/>
        <w:outlineLvl w:val="0"/>
        <w:rPr>
          <w:rFonts w:ascii="Book Antiqua" w:hAnsi="Book Antiqua" w:cs="Arial"/>
          <w:b/>
          <w:color w:val="000000"/>
        </w:rPr>
      </w:pPr>
      <w:r>
        <w:rPr>
          <w:rFonts w:ascii="Book Antiqua" w:hAnsi="Book Antiqua" w:cs="Arial"/>
          <w:b/>
          <w:color w:val="000000"/>
        </w:rPr>
        <w:t xml:space="preserve">UPPER TRIBUNAL JUDGE </w:t>
      </w:r>
      <w:r w:rsidR="00DE4B33">
        <w:rPr>
          <w:rFonts w:ascii="Book Antiqua" w:hAnsi="Book Antiqua" w:cs="Arial"/>
          <w:b/>
          <w:color w:val="000000"/>
        </w:rPr>
        <w:t>STOREY</w:t>
      </w:r>
    </w:p>
    <w:p w:rsidR="00D20757" w:rsidRPr="00F97703" w:rsidRDefault="00D20757" w:rsidP="00A15234">
      <w:pPr>
        <w:jc w:val="center"/>
        <w:rPr>
          <w:rFonts w:ascii="Book Antiqua" w:hAnsi="Book Antiqua" w:cs="Arial"/>
          <w:b/>
        </w:rPr>
      </w:pPr>
    </w:p>
    <w:p w:rsidR="00A845DC" w:rsidRDefault="00A845DC" w:rsidP="00521FAD">
      <w:pPr>
        <w:jc w:val="center"/>
        <w:outlineLvl w:val="0"/>
        <w:rPr>
          <w:rFonts w:ascii="Book Antiqua" w:hAnsi="Book Antiqua" w:cs="Arial"/>
          <w:b/>
        </w:rPr>
      </w:pPr>
      <w:r w:rsidRPr="00F97703">
        <w:rPr>
          <w:rFonts w:ascii="Book Antiqua" w:hAnsi="Book Antiqua" w:cs="Arial"/>
          <w:b/>
        </w:rPr>
        <w:t>Between</w:t>
      </w:r>
    </w:p>
    <w:p w:rsidR="00692BEF" w:rsidRPr="00F97703" w:rsidRDefault="00692BEF" w:rsidP="00A15234">
      <w:pPr>
        <w:jc w:val="center"/>
        <w:rPr>
          <w:rFonts w:ascii="Book Antiqua" w:hAnsi="Book Antiqua" w:cs="Arial"/>
          <w:b/>
        </w:rPr>
      </w:pPr>
    </w:p>
    <w:bookmarkStart w:id="0" w:name="Text7"/>
    <w:p w:rsidR="00692BEF" w:rsidRPr="00F97703" w:rsidRDefault="00692BEF" w:rsidP="00521FAD">
      <w:pPr>
        <w:jc w:val="center"/>
        <w:outlineLvl w:val="0"/>
        <w:rPr>
          <w:rFonts w:ascii="Book Antiqua" w:hAnsi="Book Antiqua" w:cs="Arial"/>
          <w:b/>
        </w:rPr>
      </w:pPr>
      <w:r w:rsidRPr="00F97703">
        <w:rPr>
          <w:rFonts w:ascii="Book Antiqua" w:hAnsi="Book Antiqua" w:cs="Arial"/>
          <w:b/>
        </w:rPr>
        <w:fldChar w:fldCharType="begin">
          <w:ffData>
            <w:name w:val="Text7"/>
            <w:enabled/>
            <w:calcOnExit w:val="0"/>
            <w:textInput>
              <w:default w:val="THE SECRETARY OF STATE FOR THE HOME DEPARTMENT"/>
              <w:format w:val="UPPERCASE"/>
            </w:textInput>
          </w:ffData>
        </w:fldChar>
      </w:r>
      <w:r w:rsidRPr="00F97703">
        <w:rPr>
          <w:rFonts w:ascii="Book Antiqua" w:hAnsi="Book Antiqua" w:cs="Arial"/>
          <w:b/>
        </w:rPr>
        <w:instrText xml:space="preserve"> FORMTEXT </w:instrText>
      </w:r>
      <w:r w:rsidRPr="00F97703">
        <w:rPr>
          <w:rFonts w:ascii="Book Antiqua" w:hAnsi="Book Antiqua" w:cs="Arial"/>
          <w:b/>
        </w:rPr>
      </w:r>
      <w:r w:rsidRPr="00F97703">
        <w:rPr>
          <w:rFonts w:ascii="Book Antiqua" w:hAnsi="Book Antiqua" w:cs="Arial"/>
          <w:b/>
        </w:rPr>
        <w:fldChar w:fldCharType="separate"/>
      </w:r>
      <w:r w:rsidRPr="00F97703">
        <w:rPr>
          <w:rFonts w:ascii="Book Antiqua" w:hAnsi="Book Antiqua" w:cs="Arial"/>
          <w:b/>
          <w:noProof/>
        </w:rPr>
        <w:t>THE SECRETARY OF STATE FOR THE HOME DEPARTMENT</w:t>
      </w:r>
      <w:r w:rsidRPr="00F97703">
        <w:rPr>
          <w:rFonts w:ascii="Book Antiqua" w:hAnsi="Book Antiqua" w:cs="Arial"/>
          <w:b/>
        </w:rPr>
        <w:fldChar w:fldCharType="end"/>
      </w:r>
      <w:bookmarkEnd w:id="0"/>
    </w:p>
    <w:p w:rsidR="00704B61" w:rsidRPr="00F97703" w:rsidRDefault="00704B61" w:rsidP="00521FAD">
      <w:pPr>
        <w:jc w:val="right"/>
        <w:outlineLvl w:val="0"/>
        <w:rPr>
          <w:rFonts w:ascii="Book Antiqua" w:hAnsi="Book Antiqua" w:cs="Arial"/>
          <w:u w:val="single"/>
        </w:rPr>
      </w:pPr>
      <w:r w:rsidRPr="00F97703">
        <w:rPr>
          <w:rFonts w:ascii="Book Antiqua" w:hAnsi="Book Antiqua" w:cs="Arial"/>
          <w:u w:val="single"/>
        </w:rPr>
        <w:t>Appellant</w:t>
      </w:r>
    </w:p>
    <w:p w:rsidR="00704B61" w:rsidRPr="00F97703" w:rsidRDefault="00DD5071" w:rsidP="00704B61">
      <w:pPr>
        <w:jc w:val="center"/>
        <w:rPr>
          <w:rFonts w:ascii="Book Antiqua" w:hAnsi="Book Antiqua" w:cs="Arial"/>
          <w:b/>
        </w:rPr>
      </w:pPr>
      <w:r w:rsidRPr="00F97703">
        <w:rPr>
          <w:rFonts w:ascii="Book Antiqua" w:hAnsi="Book Antiqua" w:cs="Arial"/>
          <w:b/>
        </w:rPr>
        <w:t>and</w:t>
      </w:r>
    </w:p>
    <w:p w:rsidR="00DD5071" w:rsidRDefault="00DD5071" w:rsidP="00704B61">
      <w:pPr>
        <w:jc w:val="center"/>
        <w:rPr>
          <w:rFonts w:ascii="Book Antiqua" w:hAnsi="Book Antiqua" w:cs="Arial"/>
          <w:b/>
        </w:rPr>
      </w:pPr>
    </w:p>
    <w:p w:rsidR="00DE4B33" w:rsidRPr="00F97703" w:rsidRDefault="00DE4B33" w:rsidP="00521FAD">
      <w:pPr>
        <w:jc w:val="center"/>
        <w:outlineLvl w:val="0"/>
        <w:rPr>
          <w:rFonts w:ascii="Book Antiqua" w:hAnsi="Book Antiqua" w:cs="Arial"/>
          <w:b/>
        </w:rPr>
      </w:pPr>
      <w:r>
        <w:rPr>
          <w:rFonts w:ascii="Book Antiqua" w:hAnsi="Book Antiqua" w:cs="Arial"/>
          <w:b/>
        </w:rPr>
        <w:t>UCHENNA EUCHARIA IZUAZU</w:t>
      </w:r>
    </w:p>
    <w:p w:rsidR="00DD5071" w:rsidRPr="00F97703" w:rsidRDefault="00DD5071" w:rsidP="00521FAD">
      <w:pPr>
        <w:jc w:val="right"/>
        <w:outlineLvl w:val="0"/>
        <w:rPr>
          <w:rFonts w:ascii="Book Antiqua" w:hAnsi="Book Antiqua" w:cs="Arial"/>
          <w:u w:val="single"/>
        </w:rPr>
      </w:pPr>
      <w:r w:rsidRPr="00F97703">
        <w:rPr>
          <w:rFonts w:ascii="Book Antiqua" w:hAnsi="Book Antiqua" w:cs="Arial"/>
          <w:u w:val="single"/>
        </w:rPr>
        <w:t>Respondent</w:t>
      </w:r>
    </w:p>
    <w:p w:rsidR="00385AB3" w:rsidRDefault="00385AB3" w:rsidP="00521FAD">
      <w:pPr>
        <w:outlineLvl w:val="0"/>
        <w:rPr>
          <w:rFonts w:ascii="Book Antiqua" w:hAnsi="Book Antiqua" w:cs="Arial"/>
          <w:b/>
          <w:u w:val="single"/>
        </w:rPr>
      </w:pPr>
    </w:p>
    <w:p w:rsidR="00385AB3" w:rsidRDefault="00385AB3" w:rsidP="00521FAD">
      <w:pPr>
        <w:outlineLvl w:val="0"/>
        <w:rPr>
          <w:rFonts w:ascii="Book Antiqua" w:hAnsi="Book Antiqua" w:cs="Arial"/>
          <w:b/>
          <w:u w:val="single"/>
        </w:rPr>
      </w:pPr>
    </w:p>
    <w:p w:rsidR="00385AB3" w:rsidRPr="006020F3" w:rsidRDefault="00385AB3" w:rsidP="00385AB3">
      <w:pPr>
        <w:jc w:val="both"/>
        <w:rPr>
          <w:rFonts w:ascii="Book Antiqua" w:hAnsi="Book Antiqua"/>
          <w:i/>
        </w:rPr>
      </w:pPr>
      <w:r w:rsidRPr="006020F3">
        <w:rPr>
          <w:rFonts w:ascii="Book Antiqua" w:hAnsi="Book Antiqua"/>
          <w:i/>
        </w:rPr>
        <w:t>1. In cases to which the new Immigration Rules introduced as from 9 July 2012 by HC</w:t>
      </w:r>
      <w:r>
        <w:rPr>
          <w:rFonts w:ascii="Book Antiqua" w:hAnsi="Book Antiqua"/>
          <w:i/>
        </w:rPr>
        <w:t xml:space="preserve"> </w:t>
      </w:r>
      <w:r w:rsidRPr="006020F3">
        <w:rPr>
          <w:rFonts w:ascii="Book Antiqua" w:hAnsi="Book Antiqua"/>
          <w:i/>
        </w:rPr>
        <w:t>194 apply, judges should proceed by first considering whether a claimant is able to benefit under the applicable provisions of the Immigration Rules designed to address Article 8 claims. Where the claimant does not meet the requirements of the rules it will be necessary to go</w:t>
      </w:r>
      <w:r>
        <w:rPr>
          <w:rFonts w:ascii="Book Antiqua" w:hAnsi="Book Antiqua"/>
          <w:i/>
        </w:rPr>
        <w:t xml:space="preserve"> on</w:t>
      </w:r>
      <w:r w:rsidRPr="006020F3">
        <w:rPr>
          <w:rFonts w:ascii="Book Antiqua" w:hAnsi="Book Antiqua"/>
          <w:i/>
        </w:rPr>
        <w:t xml:space="preserve"> to make an assessment of Article 8 applying the criteria established by law. The Upper Tribunal observation in </w:t>
      </w:r>
      <w:r w:rsidRPr="006020F3">
        <w:rPr>
          <w:rFonts w:ascii="Book Antiqua" w:hAnsi="Book Antiqua"/>
          <w:i/>
          <w:u w:val="single"/>
        </w:rPr>
        <w:t xml:space="preserve">MF (Article 8-new rules) </w:t>
      </w:r>
      <w:smartTag w:uri="urn:schemas-microsoft-com:office:smarttags" w:element="country-region">
        <w:smartTag w:uri="urn:schemas-microsoft-com:office:smarttags" w:element="place">
          <w:r w:rsidRPr="006020F3">
            <w:rPr>
              <w:rFonts w:ascii="Book Antiqua" w:hAnsi="Book Antiqua"/>
              <w:i/>
              <w:u w:val="single"/>
            </w:rPr>
            <w:t>Nigeria</w:t>
          </w:r>
        </w:smartTag>
      </w:smartTag>
      <w:r w:rsidRPr="006020F3">
        <w:rPr>
          <w:rFonts w:ascii="Book Antiqua" w:hAnsi="Book Antiqua"/>
          <w:i/>
        </w:rPr>
        <w:t xml:space="preserve"> [2012] 00393 (IAC) to the same effect is endorsed.</w:t>
      </w:r>
    </w:p>
    <w:p w:rsidR="00385AB3" w:rsidRPr="006020F3" w:rsidRDefault="00385AB3" w:rsidP="00385AB3">
      <w:pPr>
        <w:jc w:val="both"/>
        <w:rPr>
          <w:rFonts w:ascii="Book Antiqua" w:hAnsi="Book Antiqua"/>
          <w:i/>
        </w:rPr>
      </w:pPr>
    </w:p>
    <w:p w:rsidR="00385AB3" w:rsidRPr="006020F3" w:rsidRDefault="00385AB3" w:rsidP="00385AB3">
      <w:pPr>
        <w:jc w:val="both"/>
        <w:rPr>
          <w:rFonts w:ascii="Book Antiqua" w:hAnsi="Book Antiqua"/>
          <w:i/>
        </w:rPr>
      </w:pPr>
      <w:r w:rsidRPr="006020F3">
        <w:rPr>
          <w:rFonts w:ascii="Book Antiqua" w:hAnsi="Book Antiqua"/>
          <w:i/>
        </w:rPr>
        <w:t>2. The procedure adopted in relation to the introduction of the new Rules provided a weak form of Parliamentary scrutiny; Parliament has not altered the legal duty of the judge determining appeals to decide on proportionality for himself or herself.</w:t>
      </w:r>
    </w:p>
    <w:p w:rsidR="00385AB3" w:rsidRPr="006020F3" w:rsidRDefault="00385AB3" w:rsidP="00385AB3">
      <w:pPr>
        <w:jc w:val="both"/>
        <w:rPr>
          <w:rFonts w:ascii="Book Antiqua" w:hAnsi="Book Antiqua"/>
          <w:i/>
        </w:rPr>
      </w:pPr>
    </w:p>
    <w:p w:rsidR="00385AB3" w:rsidRPr="006020F3" w:rsidRDefault="00385AB3" w:rsidP="00385AB3">
      <w:pPr>
        <w:jc w:val="both"/>
        <w:rPr>
          <w:rFonts w:ascii="Book Antiqua" w:hAnsi="Book Antiqua"/>
          <w:i/>
        </w:rPr>
      </w:pPr>
      <w:r w:rsidRPr="006020F3">
        <w:rPr>
          <w:rFonts w:ascii="Book Antiqua" w:hAnsi="Book Antiqua"/>
          <w:i/>
        </w:rPr>
        <w:t>3. There can be no presumption that the Rules will normally be conclusive of the Arti</w:t>
      </w:r>
      <w:r>
        <w:rPr>
          <w:rFonts w:ascii="Book Antiqua" w:hAnsi="Book Antiqua"/>
          <w:i/>
        </w:rPr>
        <w:t>cle 8 assessment or that a fact-</w:t>
      </w:r>
      <w:r w:rsidRPr="006020F3">
        <w:rPr>
          <w:rFonts w:ascii="Book Antiqua" w:hAnsi="Book Antiqua"/>
          <w:i/>
        </w:rPr>
        <w:t xml:space="preserve">sensitive inquiry is normally not needed. The more the new Rules restrict otherwise relevant and weighty considerations from being taken into account, the less regard will be had to them in the assessment of proportionality. </w:t>
      </w:r>
    </w:p>
    <w:p w:rsidR="00385AB3" w:rsidRPr="006020F3" w:rsidRDefault="00385AB3" w:rsidP="00385AB3">
      <w:pPr>
        <w:jc w:val="both"/>
        <w:rPr>
          <w:rFonts w:ascii="Book Antiqua" w:hAnsi="Book Antiqua"/>
          <w:i/>
        </w:rPr>
      </w:pPr>
    </w:p>
    <w:p w:rsidR="00385AB3" w:rsidRPr="006020F3" w:rsidRDefault="00385AB3" w:rsidP="00385AB3">
      <w:pPr>
        <w:jc w:val="both"/>
        <w:rPr>
          <w:rFonts w:ascii="Book Antiqua" w:hAnsi="Book Antiqua"/>
          <w:i/>
        </w:rPr>
      </w:pPr>
      <w:r w:rsidRPr="006020F3">
        <w:rPr>
          <w:rFonts w:ascii="Book Antiqua" w:hAnsi="Book Antiqua"/>
          <w:i/>
        </w:rPr>
        <w:t xml:space="preserve">4. When considering whether a decision is in accordance with the law, it has been authoritatively established by the higher courts that the test to be applied is not exceptional circumstances or insurmountable obstacles. </w:t>
      </w:r>
    </w:p>
    <w:p w:rsidR="00385AB3" w:rsidRPr="006020F3" w:rsidRDefault="00385AB3" w:rsidP="00385AB3">
      <w:pPr>
        <w:jc w:val="both"/>
        <w:rPr>
          <w:rFonts w:ascii="Book Antiqua" w:hAnsi="Book Antiqua"/>
          <w:i/>
        </w:rPr>
      </w:pPr>
    </w:p>
    <w:p w:rsidR="00385AB3" w:rsidRPr="006020F3" w:rsidRDefault="00385AB3" w:rsidP="00385AB3">
      <w:pPr>
        <w:jc w:val="both"/>
        <w:rPr>
          <w:rFonts w:ascii="Book Antiqua" w:hAnsi="Book Antiqua"/>
          <w:i/>
        </w:rPr>
      </w:pPr>
      <w:r w:rsidRPr="006020F3">
        <w:rPr>
          <w:rFonts w:ascii="Book Antiqua" w:hAnsi="Book Antiqua"/>
          <w:i/>
        </w:rPr>
        <w:t>5.The UKBA continues to accept that EU law prevents the state requiring an EU law citizen from leaving the United Kingdom, although contends with good reason, that this is to be distinguished from a case where an independent adult can choose between continued residence in the United Kingdom or continued cohabitation abroad.</w:t>
      </w:r>
    </w:p>
    <w:p w:rsidR="00385AB3" w:rsidRPr="00385AB3" w:rsidRDefault="00385AB3" w:rsidP="00385AB3">
      <w:pPr>
        <w:jc w:val="both"/>
        <w:outlineLvl w:val="0"/>
        <w:rPr>
          <w:rFonts w:ascii="Book Antiqua" w:hAnsi="Book Antiqua" w:cs="Arial"/>
        </w:rPr>
      </w:pPr>
    </w:p>
    <w:p w:rsidR="00385AB3" w:rsidRDefault="00385AB3" w:rsidP="00521FAD">
      <w:pPr>
        <w:outlineLvl w:val="0"/>
        <w:rPr>
          <w:rFonts w:ascii="Book Antiqua" w:hAnsi="Book Antiqua" w:cs="Arial"/>
          <w:b/>
          <w:u w:val="single"/>
        </w:rPr>
      </w:pPr>
    </w:p>
    <w:p w:rsidR="00DD5071" w:rsidRPr="00F97703" w:rsidRDefault="00DE7DB7" w:rsidP="00521FAD">
      <w:pPr>
        <w:outlineLvl w:val="0"/>
        <w:rPr>
          <w:rFonts w:ascii="Book Antiqua" w:hAnsi="Book Antiqua" w:cs="Arial"/>
        </w:rPr>
      </w:pPr>
      <w:r w:rsidRPr="00F97703">
        <w:rPr>
          <w:rFonts w:ascii="Book Antiqua" w:hAnsi="Book Antiqua" w:cs="Arial"/>
          <w:b/>
          <w:u w:val="single"/>
        </w:rPr>
        <w:t>Representation</w:t>
      </w:r>
      <w:r w:rsidRPr="00F97703">
        <w:rPr>
          <w:rFonts w:ascii="Book Antiqua" w:hAnsi="Book Antiqua" w:cs="Arial"/>
          <w:b/>
        </w:rPr>
        <w:t>:</w:t>
      </w:r>
    </w:p>
    <w:p w:rsidR="00DE7DB7" w:rsidRPr="00F97703" w:rsidRDefault="00DE7DB7" w:rsidP="00DD5071">
      <w:pPr>
        <w:rPr>
          <w:rFonts w:ascii="Book Antiqua" w:hAnsi="Book Antiqua" w:cs="Arial"/>
        </w:rPr>
      </w:pPr>
    </w:p>
    <w:p w:rsidR="00DE7DB7" w:rsidRPr="00F97703" w:rsidRDefault="00DE7DB7" w:rsidP="00521FAD">
      <w:pPr>
        <w:tabs>
          <w:tab w:val="left" w:pos="2520"/>
        </w:tabs>
        <w:outlineLvl w:val="0"/>
        <w:rPr>
          <w:rFonts w:ascii="Book Antiqua" w:hAnsi="Book Antiqua" w:cs="Arial"/>
        </w:rPr>
      </w:pPr>
      <w:r w:rsidRPr="00F97703">
        <w:rPr>
          <w:rFonts w:ascii="Book Antiqua" w:hAnsi="Book Antiqua" w:cs="Arial"/>
        </w:rPr>
        <w:t>For the Appellant:</w:t>
      </w:r>
      <w:r w:rsidRPr="00F97703">
        <w:rPr>
          <w:rFonts w:ascii="Book Antiqua" w:hAnsi="Book Antiqua" w:cs="Arial"/>
        </w:rPr>
        <w:tab/>
      </w:r>
      <w:r w:rsidR="00DE4B33">
        <w:rPr>
          <w:rFonts w:ascii="Book Antiqua" w:hAnsi="Book Antiqua" w:cs="Arial"/>
        </w:rPr>
        <w:t>Mr P Nath</w:t>
      </w:r>
      <w:r w:rsidR="004F7173">
        <w:rPr>
          <w:rFonts w:ascii="Book Antiqua" w:hAnsi="Book Antiqua" w:cs="Arial"/>
        </w:rPr>
        <w:t>,</w:t>
      </w:r>
      <w:r w:rsidR="00DE4B33">
        <w:rPr>
          <w:rFonts w:ascii="Book Antiqua" w:hAnsi="Book Antiqua" w:cs="Arial"/>
        </w:rPr>
        <w:t xml:space="preserve"> </w:t>
      </w:r>
      <w:r w:rsidR="00692BEF">
        <w:rPr>
          <w:rFonts w:ascii="Book Antiqua" w:hAnsi="Book Antiqua" w:cs="Arial"/>
        </w:rPr>
        <w:t>Senior Home Office Presenting Officer</w:t>
      </w:r>
    </w:p>
    <w:p w:rsidR="00DE7DB7" w:rsidRPr="00F97703" w:rsidRDefault="00DE7DB7" w:rsidP="00DE7DB7">
      <w:pPr>
        <w:tabs>
          <w:tab w:val="left" w:pos="2520"/>
        </w:tabs>
        <w:rPr>
          <w:rFonts w:ascii="Book Antiqua" w:hAnsi="Book Antiqua" w:cs="Arial"/>
        </w:rPr>
      </w:pPr>
      <w:r w:rsidRPr="00F97703">
        <w:rPr>
          <w:rFonts w:ascii="Book Antiqua" w:hAnsi="Book Antiqua" w:cs="Arial"/>
        </w:rPr>
        <w:t>For the Respondent:</w:t>
      </w:r>
      <w:r w:rsidRPr="00F97703">
        <w:rPr>
          <w:rFonts w:ascii="Book Antiqua" w:hAnsi="Book Antiqua" w:cs="Arial"/>
        </w:rPr>
        <w:tab/>
      </w:r>
      <w:smartTag w:uri="urn:schemas-microsoft-com:office:smarttags" w:element="place">
        <w:r w:rsidR="004F7173">
          <w:rPr>
            <w:rFonts w:ascii="Book Antiqua" w:hAnsi="Book Antiqua" w:cs="Arial"/>
          </w:rPr>
          <w:t>E</w:t>
        </w:r>
        <w:r w:rsidR="00DE4B33">
          <w:rPr>
            <w:rFonts w:ascii="Book Antiqua" w:hAnsi="Book Antiqua" w:cs="Arial"/>
          </w:rPr>
          <w:t xml:space="preserve"> Fripp</w:t>
        </w:r>
      </w:smartTag>
      <w:r w:rsidR="00DE4B33">
        <w:rPr>
          <w:rFonts w:ascii="Book Antiqua" w:hAnsi="Book Antiqua" w:cs="Arial"/>
        </w:rPr>
        <w:t xml:space="preserve"> </w:t>
      </w:r>
      <w:r w:rsidR="00692BEF">
        <w:rPr>
          <w:rFonts w:ascii="Book Antiqua" w:hAnsi="Book Antiqua" w:cs="Arial"/>
        </w:rPr>
        <w:t xml:space="preserve">instructed </w:t>
      </w:r>
      <w:r w:rsidR="00A557C2">
        <w:rPr>
          <w:rFonts w:ascii="Book Antiqua" w:hAnsi="Book Antiqua" w:cs="Arial"/>
        </w:rPr>
        <w:t>by Luq</w:t>
      </w:r>
      <w:r w:rsidR="00DE4B33">
        <w:rPr>
          <w:rFonts w:ascii="Book Antiqua" w:hAnsi="Book Antiqua" w:cs="Arial"/>
        </w:rPr>
        <w:t>mani Thompson and Co</w:t>
      </w:r>
      <w:r w:rsidR="0042111A">
        <w:rPr>
          <w:rFonts w:ascii="Book Antiqua" w:hAnsi="Book Antiqua" w:cs="Arial"/>
        </w:rPr>
        <w:t xml:space="preserve">. </w:t>
      </w:r>
    </w:p>
    <w:p w:rsidR="00DE7DB7" w:rsidRPr="00F97703" w:rsidRDefault="00DE7DB7" w:rsidP="00402B9E">
      <w:pPr>
        <w:tabs>
          <w:tab w:val="left" w:pos="2520"/>
        </w:tabs>
        <w:jc w:val="center"/>
        <w:rPr>
          <w:rFonts w:ascii="Book Antiqua" w:hAnsi="Book Antiqua" w:cs="Arial"/>
        </w:rPr>
      </w:pPr>
    </w:p>
    <w:p w:rsidR="00DE7DB7" w:rsidRPr="00F97703" w:rsidRDefault="00DE7DB7" w:rsidP="00402B9E">
      <w:pPr>
        <w:tabs>
          <w:tab w:val="left" w:pos="2520"/>
        </w:tabs>
        <w:jc w:val="center"/>
        <w:rPr>
          <w:rFonts w:ascii="Book Antiqua" w:hAnsi="Book Antiqua" w:cs="Arial"/>
        </w:rPr>
      </w:pPr>
    </w:p>
    <w:p w:rsidR="00DE7DB7" w:rsidRPr="00F97703" w:rsidRDefault="00402B9E" w:rsidP="00521FAD">
      <w:pPr>
        <w:tabs>
          <w:tab w:val="left" w:pos="2520"/>
        </w:tabs>
        <w:jc w:val="center"/>
        <w:outlineLvl w:val="0"/>
        <w:rPr>
          <w:rFonts w:ascii="Book Antiqua" w:hAnsi="Book Antiqua" w:cs="Arial"/>
        </w:rPr>
      </w:pPr>
      <w:r w:rsidRPr="00F97703">
        <w:rPr>
          <w:rFonts w:ascii="Book Antiqua" w:hAnsi="Book Antiqua" w:cs="Arial"/>
          <w:b/>
          <w:u w:val="single"/>
        </w:rPr>
        <w:t>DETERMINATION AND REASONS</w:t>
      </w:r>
    </w:p>
    <w:p w:rsidR="00DE4B33" w:rsidRDefault="00DE4B33" w:rsidP="00521FAD">
      <w:pPr>
        <w:tabs>
          <w:tab w:val="left" w:pos="2520"/>
        </w:tabs>
        <w:jc w:val="both"/>
        <w:outlineLvl w:val="0"/>
        <w:rPr>
          <w:rFonts w:ascii="Book Antiqua" w:hAnsi="Book Antiqua" w:cs="Arial"/>
          <w:u w:val="single"/>
        </w:rPr>
      </w:pPr>
      <w:r w:rsidRPr="00F44768">
        <w:rPr>
          <w:rFonts w:ascii="Book Antiqua" w:hAnsi="Book Antiqua" w:cs="Arial"/>
          <w:u w:val="single"/>
        </w:rPr>
        <w:t>Introduction</w:t>
      </w:r>
    </w:p>
    <w:p w:rsidR="00F44768" w:rsidRPr="00F44768" w:rsidRDefault="00F44768" w:rsidP="00402B9E">
      <w:pPr>
        <w:tabs>
          <w:tab w:val="left" w:pos="2520"/>
        </w:tabs>
        <w:jc w:val="both"/>
        <w:rPr>
          <w:rFonts w:ascii="Book Antiqua" w:hAnsi="Book Antiqua" w:cs="Arial"/>
          <w:u w:val="single"/>
        </w:rPr>
      </w:pPr>
    </w:p>
    <w:p w:rsidR="00692BEF" w:rsidRDefault="00692BEF"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This is</w:t>
      </w:r>
      <w:r w:rsidR="00DE4B33">
        <w:rPr>
          <w:rFonts w:ascii="Book Antiqua" w:hAnsi="Book Antiqua" w:cs="Arial"/>
        </w:rPr>
        <w:t xml:space="preserve"> the Secretary of State’s</w:t>
      </w:r>
      <w:r>
        <w:rPr>
          <w:rFonts w:ascii="Book Antiqua" w:hAnsi="Book Antiqua" w:cs="Arial"/>
        </w:rPr>
        <w:t xml:space="preserve"> appeal </w:t>
      </w:r>
      <w:r w:rsidR="00DE4B33">
        <w:rPr>
          <w:rFonts w:ascii="Book Antiqua" w:hAnsi="Book Antiqua" w:cs="Arial"/>
        </w:rPr>
        <w:t xml:space="preserve">from a decision </w:t>
      </w:r>
      <w:r w:rsidR="0042111A">
        <w:rPr>
          <w:rFonts w:ascii="Book Antiqua" w:hAnsi="Book Antiqua" w:cs="Arial"/>
        </w:rPr>
        <w:t xml:space="preserve">of </w:t>
      </w:r>
      <w:r w:rsidR="00DE4B33">
        <w:rPr>
          <w:rFonts w:ascii="Book Antiqua" w:hAnsi="Book Antiqua" w:cs="Arial"/>
        </w:rPr>
        <w:t xml:space="preserve">Judge Keane sitting in the First-tier Tribunal </w:t>
      </w:r>
      <w:r w:rsidR="00F44768">
        <w:rPr>
          <w:rFonts w:ascii="Book Antiqua" w:hAnsi="Book Antiqua" w:cs="Arial"/>
        </w:rPr>
        <w:t>given on 31 July 2012.</w:t>
      </w:r>
      <w:r w:rsidR="000D7F39">
        <w:rPr>
          <w:rFonts w:ascii="Book Antiqua" w:hAnsi="Book Antiqua" w:cs="Arial"/>
        </w:rPr>
        <w:t xml:space="preserve"> </w:t>
      </w:r>
      <w:r w:rsidR="00DE4B33">
        <w:rPr>
          <w:rFonts w:ascii="Book Antiqua" w:hAnsi="Book Antiqua" w:cs="Arial"/>
        </w:rPr>
        <w:t>This was originally a fast track appeal from a decision of the Secreta</w:t>
      </w:r>
      <w:r w:rsidR="00681825">
        <w:rPr>
          <w:rFonts w:ascii="Book Antiqua" w:hAnsi="Book Antiqua" w:cs="Arial"/>
        </w:rPr>
        <w:t xml:space="preserve">ry of State refusing Ms Izuazu </w:t>
      </w:r>
      <w:r w:rsidR="00DE4B33">
        <w:rPr>
          <w:rFonts w:ascii="Book Antiqua" w:hAnsi="Book Antiqua" w:cs="Arial"/>
        </w:rPr>
        <w:t xml:space="preserve">leave to enter the </w:t>
      </w:r>
      <w:smartTag w:uri="urn:schemas-microsoft-com:office:smarttags" w:element="country-region">
        <w:smartTag w:uri="urn:schemas-microsoft-com:office:smarttags" w:element="place">
          <w:r w:rsidR="00DE4B33">
            <w:rPr>
              <w:rFonts w:ascii="Book Antiqua" w:hAnsi="Book Antiqua" w:cs="Arial"/>
            </w:rPr>
            <w:t>United Kingdom</w:t>
          </w:r>
        </w:smartTag>
      </w:smartTag>
      <w:r w:rsidR="00DE4B33">
        <w:rPr>
          <w:rFonts w:ascii="Book Antiqua" w:hAnsi="Book Antiqua" w:cs="Arial"/>
        </w:rPr>
        <w:t xml:space="preserve"> on asylum and human rights grounds.</w:t>
      </w:r>
      <w:r w:rsidR="000D7F39">
        <w:rPr>
          <w:rFonts w:ascii="Book Antiqua" w:hAnsi="Book Antiqua" w:cs="Arial"/>
        </w:rPr>
        <w:t xml:space="preserve"> </w:t>
      </w:r>
      <w:r w:rsidR="00681825">
        <w:rPr>
          <w:rFonts w:ascii="Book Antiqua" w:hAnsi="Book Antiqua" w:cs="Arial"/>
        </w:rPr>
        <w:t>We shall refer to Ms Izuazu as the claimant.</w:t>
      </w:r>
      <w:r w:rsidR="00DE4B33">
        <w:rPr>
          <w:rFonts w:ascii="Book Antiqua" w:hAnsi="Book Antiqua" w:cs="Arial"/>
        </w:rPr>
        <w:t xml:space="preserve"> The judge dismissed the asylum claim but allowed the claimant’s appeal under Article 8 ECHR by reason of her marriage in March 2012 to Julius Akinola.</w:t>
      </w:r>
    </w:p>
    <w:p w:rsidR="00DE4B33" w:rsidRDefault="00DE4B33" w:rsidP="004F7173">
      <w:pPr>
        <w:tabs>
          <w:tab w:val="num" w:pos="540"/>
          <w:tab w:val="left" w:pos="567"/>
        </w:tabs>
        <w:ind w:left="540" w:hanging="540"/>
        <w:jc w:val="both"/>
        <w:rPr>
          <w:rFonts w:ascii="Book Antiqua" w:hAnsi="Book Antiqua" w:cs="Arial"/>
        </w:rPr>
      </w:pPr>
    </w:p>
    <w:p w:rsidR="00DE4B33" w:rsidRDefault="00336CE3"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The grounds of appeal</w:t>
      </w:r>
      <w:r w:rsidR="00F44768">
        <w:rPr>
          <w:rFonts w:ascii="Book Antiqua" w:hAnsi="Book Antiqua" w:cs="Arial"/>
        </w:rPr>
        <w:t xml:space="preserve"> submit that</w:t>
      </w:r>
      <w:r w:rsidR="000D7F39">
        <w:rPr>
          <w:rFonts w:ascii="Book Antiqua" w:hAnsi="Book Antiqua" w:cs="Arial"/>
        </w:rPr>
        <w:t xml:space="preserve"> the judge erred in law in his A</w:t>
      </w:r>
      <w:r w:rsidR="00F44768">
        <w:rPr>
          <w:rFonts w:ascii="Book Antiqua" w:hAnsi="Book Antiqua" w:cs="Arial"/>
        </w:rPr>
        <w:t xml:space="preserve">rticle 8 decision by failing to follow the </w:t>
      </w:r>
      <w:r w:rsidR="00A557C2">
        <w:rPr>
          <w:rFonts w:ascii="Book Antiqua" w:hAnsi="Book Antiqua" w:cs="Arial"/>
        </w:rPr>
        <w:t xml:space="preserve">provisions of </w:t>
      </w:r>
      <w:r w:rsidR="00661B68">
        <w:rPr>
          <w:rFonts w:ascii="Book Antiqua" w:hAnsi="Book Antiqua" w:cs="Arial"/>
        </w:rPr>
        <w:t xml:space="preserve">the </w:t>
      </w:r>
      <w:r w:rsidR="00F44768">
        <w:rPr>
          <w:rFonts w:ascii="Book Antiqua" w:hAnsi="Book Antiqua" w:cs="Arial"/>
        </w:rPr>
        <w:t xml:space="preserve">new </w:t>
      </w:r>
      <w:r w:rsidR="00D2334F">
        <w:rPr>
          <w:rFonts w:ascii="Book Antiqua" w:hAnsi="Book Antiqua" w:cs="Arial"/>
        </w:rPr>
        <w:t>Immigration R</w:t>
      </w:r>
      <w:r w:rsidR="00F44768">
        <w:rPr>
          <w:rFonts w:ascii="Book Antiqua" w:hAnsi="Book Antiqua" w:cs="Arial"/>
        </w:rPr>
        <w:t xml:space="preserve">ules </w:t>
      </w:r>
      <w:r w:rsidR="00681825">
        <w:rPr>
          <w:rFonts w:ascii="Book Antiqua" w:hAnsi="Book Antiqua" w:cs="Arial"/>
        </w:rPr>
        <w:t xml:space="preserve">(HC 194) </w:t>
      </w:r>
      <w:r w:rsidR="00F44768">
        <w:rPr>
          <w:rFonts w:ascii="Book Antiqua" w:hAnsi="Book Antiqua" w:cs="Arial"/>
        </w:rPr>
        <w:t xml:space="preserve">published on 13 June 2012 </w:t>
      </w:r>
      <w:r w:rsidR="0042111A">
        <w:rPr>
          <w:rFonts w:ascii="Book Antiqua" w:hAnsi="Book Antiqua" w:cs="Arial"/>
        </w:rPr>
        <w:t>and stated to take effect on 9</w:t>
      </w:r>
      <w:r w:rsidR="00681825">
        <w:rPr>
          <w:rFonts w:ascii="Book Antiqua" w:hAnsi="Book Antiqua" w:cs="Arial"/>
        </w:rPr>
        <w:t xml:space="preserve"> July 2012 </w:t>
      </w:r>
      <w:r w:rsidR="00F44768">
        <w:rPr>
          <w:rFonts w:ascii="Book Antiqua" w:hAnsi="Book Antiqua" w:cs="Arial"/>
        </w:rPr>
        <w:t xml:space="preserve">where the Home Secretary </w:t>
      </w:r>
      <w:r w:rsidR="00681825">
        <w:rPr>
          <w:rFonts w:ascii="Book Antiqua" w:hAnsi="Book Antiqua" w:cs="Arial"/>
        </w:rPr>
        <w:t xml:space="preserve">set </w:t>
      </w:r>
      <w:r w:rsidR="00F44768">
        <w:rPr>
          <w:rFonts w:ascii="Book Antiqua" w:hAnsi="Book Antiqua" w:cs="Arial"/>
        </w:rPr>
        <w:t xml:space="preserve">out a </w:t>
      </w:r>
      <w:r>
        <w:rPr>
          <w:rFonts w:ascii="Book Antiqua" w:hAnsi="Book Antiqua" w:cs="Arial"/>
        </w:rPr>
        <w:t xml:space="preserve">scheme </w:t>
      </w:r>
      <w:r w:rsidR="00F44768">
        <w:rPr>
          <w:rFonts w:ascii="Book Antiqua" w:hAnsi="Book Antiqua" w:cs="Arial"/>
        </w:rPr>
        <w:t>as to when leave to enter or remain would be gr</w:t>
      </w:r>
      <w:r w:rsidR="00681825">
        <w:rPr>
          <w:rFonts w:ascii="Book Antiqua" w:hAnsi="Book Antiqua" w:cs="Arial"/>
        </w:rPr>
        <w:t xml:space="preserve">anted on human rights grounds. </w:t>
      </w:r>
      <w:r w:rsidR="00F44768">
        <w:rPr>
          <w:rFonts w:ascii="Book Antiqua" w:hAnsi="Book Antiqua" w:cs="Arial"/>
        </w:rPr>
        <w:t xml:space="preserve">This is an issue of considerable public </w:t>
      </w:r>
      <w:r w:rsidR="008C4A0E">
        <w:rPr>
          <w:rFonts w:ascii="Book Antiqua" w:hAnsi="Book Antiqua" w:cs="Arial"/>
        </w:rPr>
        <w:t xml:space="preserve">importance as many </w:t>
      </w:r>
      <w:r w:rsidR="00F44768">
        <w:rPr>
          <w:rFonts w:ascii="Book Antiqua" w:hAnsi="Book Antiqua" w:cs="Arial"/>
        </w:rPr>
        <w:t xml:space="preserve">decisions are being made to which the </w:t>
      </w:r>
      <w:r w:rsidR="00A557C2">
        <w:rPr>
          <w:rFonts w:ascii="Book Antiqua" w:hAnsi="Book Antiqua" w:cs="Arial"/>
        </w:rPr>
        <w:t xml:space="preserve">new </w:t>
      </w:r>
      <w:r w:rsidR="00F44768">
        <w:rPr>
          <w:rFonts w:ascii="Book Antiqua" w:hAnsi="Book Antiqua" w:cs="Arial"/>
        </w:rPr>
        <w:t>rules have potential relevance.</w:t>
      </w:r>
    </w:p>
    <w:p w:rsidR="00F44768" w:rsidRDefault="00F44768" w:rsidP="004F7173">
      <w:pPr>
        <w:tabs>
          <w:tab w:val="num" w:pos="540"/>
          <w:tab w:val="left" w:pos="567"/>
        </w:tabs>
        <w:ind w:left="540" w:hanging="540"/>
        <w:jc w:val="both"/>
        <w:rPr>
          <w:rFonts w:ascii="Book Antiqua" w:hAnsi="Book Antiqua" w:cs="Arial"/>
        </w:rPr>
      </w:pPr>
    </w:p>
    <w:p w:rsidR="00F44768" w:rsidRDefault="00F44768"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Permission to appea</w:t>
      </w:r>
      <w:r w:rsidR="000D7F39">
        <w:rPr>
          <w:rFonts w:ascii="Book Antiqua" w:hAnsi="Book Antiqua" w:cs="Arial"/>
        </w:rPr>
        <w:t xml:space="preserve">l was granted on 3 August 2012 </w:t>
      </w:r>
      <w:r>
        <w:rPr>
          <w:rFonts w:ascii="Book Antiqua" w:hAnsi="Book Antiqua" w:cs="Arial"/>
        </w:rPr>
        <w:t xml:space="preserve">and the case taken out of fast track.  </w:t>
      </w:r>
      <w:r w:rsidR="00A557C2">
        <w:rPr>
          <w:rFonts w:ascii="Book Antiqua" w:hAnsi="Book Antiqua" w:cs="Arial"/>
        </w:rPr>
        <w:t xml:space="preserve">There was </w:t>
      </w:r>
      <w:r w:rsidR="0042111A">
        <w:rPr>
          <w:rFonts w:ascii="Book Antiqua" w:hAnsi="Book Antiqua" w:cs="Arial"/>
        </w:rPr>
        <w:t xml:space="preserve">a case management </w:t>
      </w:r>
      <w:r>
        <w:rPr>
          <w:rFonts w:ascii="Book Antiqua" w:hAnsi="Book Antiqua" w:cs="Arial"/>
        </w:rPr>
        <w:t>hearing on 12 September 2012 following which the appeal was listed before a panel of the UT for a day.</w:t>
      </w:r>
    </w:p>
    <w:p w:rsidR="00F44768" w:rsidRDefault="00F44768" w:rsidP="004F7173">
      <w:pPr>
        <w:tabs>
          <w:tab w:val="num" w:pos="540"/>
          <w:tab w:val="left" w:pos="567"/>
        </w:tabs>
        <w:ind w:left="540" w:hanging="540"/>
        <w:jc w:val="both"/>
        <w:rPr>
          <w:rFonts w:ascii="Book Antiqua" w:hAnsi="Book Antiqua" w:cs="Arial"/>
        </w:rPr>
      </w:pPr>
    </w:p>
    <w:p w:rsidR="00A557C2" w:rsidRDefault="001F1AD8"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The claimant had been unrepresented before the First-tier Tribunal but she had </w:t>
      </w:r>
      <w:r w:rsidR="00A557C2">
        <w:rPr>
          <w:rFonts w:ascii="Book Antiqua" w:hAnsi="Book Antiqua" w:cs="Arial"/>
        </w:rPr>
        <w:t xml:space="preserve">subsequently </w:t>
      </w:r>
      <w:r>
        <w:rPr>
          <w:rFonts w:ascii="Book Antiqua" w:hAnsi="Book Antiqua" w:cs="Arial"/>
        </w:rPr>
        <w:t>secured the services of Luqmani Thompson and Partners before us.</w:t>
      </w:r>
      <w:r w:rsidR="000D7F39">
        <w:rPr>
          <w:rFonts w:ascii="Book Antiqua" w:hAnsi="Book Antiqua" w:cs="Arial"/>
        </w:rPr>
        <w:t xml:space="preserve"> </w:t>
      </w:r>
      <w:r w:rsidR="00A557C2">
        <w:rPr>
          <w:rFonts w:ascii="Book Antiqua" w:hAnsi="Book Antiqua" w:cs="Arial"/>
        </w:rPr>
        <w:t xml:space="preserve">We acknowledge the assistance her representatives have provided </w:t>
      </w:r>
      <w:r w:rsidR="0042111A">
        <w:rPr>
          <w:rFonts w:ascii="Book Antiqua" w:hAnsi="Book Antiqua" w:cs="Arial"/>
        </w:rPr>
        <w:t xml:space="preserve">to </w:t>
      </w:r>
      <w:r w:rsidR="00A557C2">
        <w:rPr>
          <w:rFonts w:ascii="Book Antiqua" w:hAnsi="Book Antiqua" w:cs="Arial"/>
        </w:rPr>
        <w:t>us t</w:t>
      </w:r>
      <w:r w:rsidR="0042111A">
        <w:rPr>
          <w:rFonts w:ascii="Book Antiqua" w:hAnsi="Book Antiqua" w:cs="Arial"/>
        </w:rPr>
        <w:t>o decide the point</w:t>
      </w:r>
      <w:r w:rsidR="00912295">
        <w:rPr>
          <w:rFonts w:ascii="Book Antiqua" w:hAnsi="Book Antiqua" w:cs="Arial"/>
        </w:rPr>
        <w:t>s</w:t>
      </w:r>
      <w:r w:rsidR="0042111A">
        <w:rPr>
          <w:rFonts w:ascii="Book Antiqua" w:hAnsi="Book Antiqua" w:cs="Arial"/>
        </w:rPr>
        <w:t xml:space="preserve"> of principle</w:t>
      </w:r>
      <w:r w:rsidR="00912295">
        <w:rPr>
          <w:rFonts w:ascii="Book Antiqua" w:hAnsi="Book Antiqua" w:cs="Arial"/>
        </w:rPr>
        <w:t xml:space="preserve"> and the appeal</w:t>
      </w:r>
      <w:r w:rsidR="0042111A">
        <w:rPr>
          <w:rFonts w:ascii="Book Antiqua" w:hAnsi="Book Antiqua" w:cs="Arial"/>
        </w:rPr>
        <w:t>.</w:t>
      </w:r>
    </w:p>
    <w:p w:rsidR="00A557C2" w:rsidRDefault="00A557C2" w:rsidP="00A557C2">
      <w:pPr>
        <w:tabs>
          <w:tab w:val="left" w:pos="567"/>
        </w:tabs>
        <w:jc w:val="both"/>
        <w:rPr>
          <w:rFonts w:ascii="Book Antiqua" w:hAnsi="Book Antiqua" w:cs="Arial"/>
        </w:rPr>
      </w:pPr>
    </w:p>
    <w:p w:rsidR="00A557C2" w:rsidRDefault="001F1AD8"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On 5 October 2012 </w:t>
      </w:r>
      <w:r w:rsidR="00A557C2">
        <w:rPr>
          <w:rFonts w:ascii="Book Antiqua" w:hAnsi="Book Antiqua" w:cs="Arial"/>
        </w:rPr>
        <w:t>she</w:t>
      </w:r>
      <w:r>
        <w:rPr>
          <w:rFonts w:ascii="Book Antiqua" w:hAnsi="Book Antiqua" w:cs="Arial"/>
        </w:rPr>
        <w:t xml:space="preserve"> lodged a skeleton argument </w:t>
      </w:r>
      <w:r w:rsidR="00912295">
        <w:rPr>
          <w:rFonts w:ascii="Book Antiqua" w:hAnsi="Book Antiqua" w:cs="Arial"/>
        </w:rPr>
        <w:t xml:space="preserve">signed by leading counsel </w:t>
      </w:r>
      <w:r w:rsidR="0042111A">
        <w:rPr>
          <w:rFonts w:ascii="Book Antiqua" w:hAnsi="Book Antiqua" w:cs="Arial"/>
        </w:rPr>
        <w:t xml:space="preserve">Raza Husain QC as well as Mr Fripp </w:t>
      </w:r>
      <w:r>
        <w:rPr>
          <w:rFonts w:ascii="Book Antiqua" w:hAnsi="Book Antiqua" w:cs="Arial"/>
        </w:rPr>
        <w:t xml:space="preserve">and </w:t>
      </w:r>
      <w:r w:rsidR="00C20C5A">
        <w:rPr>
          <w:rFonts w:ascii="Book Antiqua" w:hAnsi="Book Antiqua" w:cs="Arial"/>
        </w:rPr>
        <w:t xml:space="preserve">a </w:t>
      </w:r>
      <w:r>
        <w:rPr>
          <w:rFonts w:ascii="Book Antiqua" w:hAnsi="Book Antiqua" w:cs="Arial"/>
        </w:rPr>
        <w:t>bundle of authorities in support of the appeal and a copy was served on the Home Of</w:t>
      </w:r>
      <w:r w:rsidR="00A557C2">
        <w:rPr>
          <w:rFonts w:ascii="Book Antiqua" w:hAnsi="Book Antiqua" w:cs="Arial"/>
        </w:rPr>
        <w:t xml:space="preserve">fice Presenting Officers Unit. </w:t>
      </w:r>
      <w:r w:rsidR="00681825">
        <w:rPr>
          <w:rFonts w:ascii="Book Antiqua" w:hAnsi="Book Antiqua" w:cs="Arial"/>
        </w:rPr>
        <w:t xml:space="preserve">It was, </w:t>
      </w:r>
      <w:r>
        <w:rPr>
          <w:rFonts w:ascii="Book Antiqua" w:hAnsi="Book Antiqua" w:cs="Arial"/>
        </w:rPr>
        <w:t>therefore</w:t>
      </w:r>
      <w:r w:rsidR="00681825">
        <w:rPr>
          <w:rFonts w:ascii="Book Antiqua" w:hAnsi="Book Antiqua" w:cs="Arial"/>
        </w:rPr>
        <w:t>,</w:t>
      </w:r>
      <w:r>
        <w:rPr>
          <w:rFonts w:ascii="Book Antiqua" w:hAnsi="Book Antiqua" w:cs="Arial"/>
        </w:rPr>
        <w:t xml:space="preserve"> with considerable dismay that the panel constituted to hear this appeal received the news shortly before the case was called on at 10.</w:t>
      </w:r>
      <w:r w:rsidR="000D7F39">
        <w:rPr>
          <w:rFonts w:ascii="Book Antiqua" w:hAnsi="Book Antiqua" w:cs="Arial"/>
        </w:rPr>
        <w:t>00am Tuesday 9 October, that Mr</w:t>
      </w:r>
      <w:r>
        <w:rPr>
          <w:rFonts w:ascii="Book Antiqua" w:hAnsi="Book Antiqua" w:cs="Arial"/>
        </w:rPr>
        <w:t xml:space="preserve"> Nath was asking for a photocopy of the court bundle as h</w:t>
      </w:r>
      <w:r w:rsidR="007F2B64">
        <w:rPr>
          <w:rFonts w:ascii="Book Antiqua" w:hAnsi="Book Antiqua" w:cs="Arial"/>
        </w:rPr>
        <w:t xml:space="preserve">e had no or incomplete papers. </w:t>
      </w:r>
      <w:r>
        <w:rPr>
          <w:rFonts w:ascii="Book Antiqua" w:hAnsi="Book Antiqua" w:cs="Arial"/>
        </w:rPr>
        <w:t xml:space="preserve">It was with greater dismay that we received an application to adjourn the case to a new date as he did not consider himself sufficiently prepared to advance his own appeal. </w:t>
      </w:r>
    </w:p>
    <w:p w:rsidR="00A557C2" w:rsidRDefault="00A557C2" w:rsidP="00A557C2">
      <w:pPr>
        <w:tabs>
          <w:tab w:val="left" w:pos="567"/>
        </w:tabs>
        <w:jc w:val="both"/>
        <w:rPr>
          <w:rFonts w:ascii="Book Antiqua" w:hAnsi="Book Antiqua" w:cs="Arial"/>
        </w:rPr>
      </w:pPr>
    </w:p>
    <w:p w:rsidR="00A557C2" w:rsidRDefault="001F1AD8"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We rejected this application given the history set out above and the need for a p</w:t>
      </w:r>
      <w:r w:rsidR="008C4A0E">
        <w:rPr>
          <w:rFonts w:ascii="Book Antiqua" w:hAnsi="Book Antiqua" w:cs="Arial"/>
        </w:rPr>
        <w:t>a</w:t>
      </w:r>
      <w:r>
        <w:rPr>
          <w:rFonts w:ascii="Book Antiqua" w:hAnsi="Book Antiqua" w:cs="Arial"/>
        </w:rPr>
        <w:t>n</w:t>
      </w:r>
      <w:r w:rsidR="008C4A0E">
        <w:rPr>
          <w:rFonts w:ascii="Book Antiqua" w:hAnsi="Book Antiqua" w:cs="Arial"/>
        </w:rPr>
        <w:t>e</w:t>
      </w:r>
      <w:r>
        <w:rPr>
          <w:rFonts w:ascii="Book Antiqua" w:hAnsi="Book Antiqua" w:cs="Arial"/>
        </w:rPr>
        <w:t>l of the Tri</w:t>
      </w:r>
      <w:r w:rsidR="008C4A0E">
        <w:rPr>
          <w:rFonts w:ascii="Book Antiqua" w:hAnsi="Book Antiqua" w:cs="Arial"/>
        </w:rPr>
        <w:t>bunal to consider the important</w:t>
      </w:r>
      <w:r w:rsidR="00336CE3">
        <w:rPr>
          <w:rFonts w:ascii="Book Antiqua" w:hAnsi="Book Antiqua" w:cs="Arial"/>
        </w:rPr>
        <w:t xml:space="preserve"> matters raised in the appeal. </w:t>
      </w:r>
      <w:r>
        <w:rPr>
          <w:rFonts w:ascii="Book Antiqua" w:hAnsi="Book Antiqua" w:cs="Arial"/>
        </w:rPr>
        <w:t>We adjourned the matter for one hour for further preparation to be undertaken an</w:t>
      </w:r>
      <w:r w:rsidR="000A2074">
        <w:rPr>
          <w:rFonts w:ascii="Book Antiqua" w:hAnsi="Book Antiqua" w:cs="Arial"/>
        </w:rPr>
        <w:t xml:space="preserve">d before we did so we posed some </w:t>
      </w:r>
      <w:r>
        <w:rPr>
          <w:rFonts w:ascii="Book Antiqua" w:hAnsi="Book Antiqua" w:cs="Arial"/>
        </w:rPr>
        <w:t>questions that we indicated we would like assistance on in due cours</w:t>
      </w:r>
      <w:r w:rsidR="00912295">
        <w:rPr>
          <w:rFonts w:ascii="Book Antiqua" w:hAnsi="Book Antiqua" w:cs="Arial"/>
        </w:rPr>
        <w:t xml:space="preserve">e. </w:t>
      </w:r>
      <w:r>
        <w:rPr>
          <w:rFonts w:ascii="Book Antiqua" w:hAnsi="Book Antiqua" w:cs="Arial"/>
        </w:rPr>
        <w:t>Th</w:t>
      </w:r>
      <w:r w:rsidR="000D7F39">
        <w:rPr>
          <w:rFonts w:ascii="Book Antiqua" w:hAnsi="Book Antiqua" w:cs="Arial"/>
        </w:rPr>
        <w:t>e hearing then proceeded and Mr</w:t>
      </w:r>
      <w:r w:rsidR="00D2334F">
        <w:rPr>
          <w:rFonts w:ascii="Book Antiqua" w:hAnsi="Book Antiqua" w:cs="Arial"/>
        </w:rPr>
        <w:t xml:space="preserve"> </w:t>
      </w:r>
      <w:r>
        <w:rPr>
          <w:rFonts w:ascii="Book Antiqua" w:hAnsi="Book Antiqua" w:cs="Arial"/>
        </w:rPr>
        <w:t xml:space="preserve">Nath </w:t>
      </w:r>
      <w:r w:rsidR="00912295">
        <w:rPr>
          <w:rFonts w:ascii="Book Antiqua" w:hAnsi="Book Antiqua" w:cs="Arial"/>
        </w:rPr>
        <w:t xml:space="preserve">made submissions </w:t>
      </w:r>
      <w:r w:rsidR="00A557C2">
        <w:rPr>
          <w:rFonts w:ascii="Book Antiqua" w:hAnsi="Book Antiqua" w:cs="Arial"/>
        </w:rPr>
        <w:t xml:space="preserve">but acknowledged he </w:t>
      </w:r>
      <w:r>
        <w:rPr>
          <w:rFonts w:ascii="Book Antiqua" w:hAnsi="Book Antiqua" w:cs="Arial"/>
        </w:rPr>
        <w:t xml:space="preserve">was </w:t>
      </w:r>
      <w:r w:rsidR="00A557C2">
        <w:rPr>
          <w:rFonts w:ascii="Book Antiqua" w:hAnsi="Book Antiqua" w:cs="Arial"/>
        </w:rPr>
        <w:t xml:space="preserve">still </w:t>
      </w:r>
      <w:r>
        <w:rPr>
          <w:rFonts w:ascii="Book Antiqua" w:hAnsi="Book Antiqua" w:cs="Arial"/>
        </w:rPr>
        <w:t>unable to answer our questions.</w:t>
      </w:r>
      <w:r w:rsidR="00416DC3">
        <w:rPr>
          <w:rFonts w:ascii="Book Antiqua" w:hAnsi="Book Antiqua" w:cs="Arial"/>
        </w:rPr>
        <w:t xml:space="preserve"> </w:t>
      </w:r>
      <w:r w:rsidR="00661B68">
        <w:rPr>
          <w:rFonts w:ascii="Book Antiqua" w:hAnsi="Book Antiqua" w:cs="Arial"/>
        </w:rPr>
        <w:t xml:space="preserve">At </w:t>
      </w:r>
      <w:r w:rsidR="00416DC3">
        <w:rPr>
          <w:rFonts w:ascii="Book Antiqua" w:hAnsi="Book Antiqua" w:cs="Arial"/>
        </w:rPr>
        <w:t>the e</w:t>
      </w:r>
      <w:r w:rsidR="00E412B4">
        <w:rPr>
          <w:rFonts w:ascii="Book Antiqua" w:hAnsi="Book Antiqua" w:cs="Arial"/>
        </w:rPr>
        <w:t xml:space="preserve">nd of the hearing we issued </w:t>
      </w:r>
      <w:r w:rsidR="00416DC3">
        <w:rPr>
          <w:rFonts w:ascii="Book Antiqua" w:hAnsi="Book Antiqua" w:cs="Arial"/>
        </w:rPr>
        <w:t>directions giving a timetable for a written response to our questions.</w:t>
      </w:r>
      <w:r w:rsidR="00661B68">
        <w:rPr>
          <w:rFonts w:ascii="Book Antiqua" w:hAnsi="Book Antiqua" w:cs="Arial"/>
        </w:rPr>
        <w:t xml:space="preserve"> </w:t>
      </w:r>
    </w:p>
    <w:p w:rsidR="00E412B4" w:rsidRDefault="00E412B4" w:rsidP="00E412B4">
      <w:pPr>
        <w:tabs>
          <w:tab w:val="left" w:pos="567"/>
        </w:tabs>
        <w:jc w:val="both"/>
        <w:rPr>
          <w:rFonts w:ascii="Book Antiqua" w:hAnsi="Book Antiqua" w:cs="Arial"/>
        </w:rPr>
      </w:pPr>
    </w:p>
    <w:p w:rsidR="00E412B4" w:rsidRDefault="00E412B4" w:rsidP="00CE2FB6">
      <w:pPr>
        <w:tabs>
          <w:tab w:val="left" w:pos="567"/>
        </w:tabs>
        <w:jc w:val="both"/>
        <w:rPr>
          <w:rFonts w:ascii="Book Antiqua" w:hAnsi="Book Antiqua" w:cs="Arial"/>
        </w:rPr>
      </w:pPr>
      <w:r>
        <w:rPr>
          <w:rFonts w:ascii="Book Antiqua" w:hAnsi="Book Antiqua" w:cs="Arial"/>
        </w:rPr>
        <w:tab/>
      </w:r>
      <w:r>
        <w:rPr>
          <w:rFonts w:ascii="Book Antiqua" w:hAnsi="Book Antiqua" w:cs="Arial"/>
        </w:rPr>
        <w:tab/>
        <w:t>For the SSHD:</w:t>
      </w:r>
    </w:p>
    <w:p w:rsidR="001F40C2" w:rsidRDefault="001F40C2" w:rsidP="00CE2FB6">
      <w:pPr>
        <w:tabs>
          <w:tab w:val="left" w:pos="567"/>
        </w:tabs>
        <w:jc w:val="both"/>
        <w:rPr>
          <w:rFonts w:ascii="Book Antiqua" w:hAnsi="Book Antiqua" w:cs="Arial"/>
        </w:rPr>
      </w:pPr>
    </w:p>
    <w:p w:rsidR="001F40C2" w:rsidRDefault="00E412B4" w:rsidP="00CE2FB6">
      <w:pPr>
        <w:numPr>
          <w:ilvl w:val="4"/>
          <w:numId w:val="12"/>
        </w:numPr>
        <w:tabs>
          <w:tab w:val="clear" w:pos="3960"/>
          <w:tab w:val="num" w:pos="1980"/>
        </w:tabs>
        <w:ind w:left="1980" w:firstLine="0"/>
        <w:jc w:val="both"/>
      </w:pPr>
      <w:r>
        <w:t xml:space="preserve">   What difference, if any, do the recent changes in the Immigration Rules have on the pre existing case law of the Supreme Court and higher appellate courts as to the learning on Article 8? If it is contended that the relevant tests for assessing whether an immigration decision interferes unjustifiably with family life have changed, how can rules achieve such a change?</w:t>
      </w:r>
    </w:p>
    <w:p w:rsidR="001F40C2" w:rsidRDefault="001F40C2" w:rsidP="00CE2FB6">
      <w:pPr>
        <w:ind w:left="1980"/>
        <w:jc w:val="both"/>
      </w:pPr>
    </w:p>
    <w:p w:rsidR="00E412B4" w:rsidRDefault="00E412B4" w:rsidP="00CE2FB6">
      <w:pPr>
        <w:numPr>
          <w:ilvl w:val="4"/>
          <w:numId w:val="12"/>
        </w:numPr>
        <w:tabs>
          <w:tab w:val="clear" w:pos="3960"/>
          <w:tab w:val="num" w:pos="1980"/>
        </w:tabs>
        <w:ind w:left="1980" w:firstLine="0"/>
        <w:jc w:val="both"/>
      </w:pPr>
      <w:r>
        <w:t xml:space="preserve">Does the UKBA continue to accept that it is not reasonable to expect a British citizen party to genuine family life in the </w:t>
      </w:r>
      <w:smartTag w:uri="urn:schemas-microsoft-com:office:smarttags" w:element="PlaceType">
        <w:r>
          <w:t>UK</w:t>
        </w:r>
      </w:smartTag>
      <w:r>
        <w:t xml:space="preserve"> to relocate per</w:t>
      </w:r>
      <w:r w:rsidR="00CE2FB6">
        <w:t>manently abroad (paras 93 to 95</w:t>
      </w:r>
      <w:r>
        <w:t xml:space="preserve"> of </w:t>
      </w:r>
      <w:r w:rsidRPr="00996600">
        <w:rPr>
          <w:u w:val="single"/>
        </w:rPr>
        <w:t>Sanade and others</w:t>
      </w:r>
      <w:r w:rsidR="00CE2FB6">
        <w:t xml:space="preserve"> [2012] UKUT</w:t>
      </w:r>
      <w:r w:rsidR="007651B0">
        <w:t xml:space="preserve"> IAC</w:t>
      </w:r>
      <w:r w:rsidR="00CE2FB6">
        <w:t>)</w:t>
      </w:r>
      <w:r w:rsidR="007651B0">
        <w:t xml:space="preserve">? </w:t>
      </w:r>
      <w:r>
        <w:t xml:space="preserve">  If not why not and how is it compatible with </w:t>
      </w:r>
      <w:r w:rsidRPr="001A3852">
        <w:rPr>
          <w:u w:val="single"/>
        </w:rPr>
        <w:t xml:space="preserve">Dereci </w:t>
      </w:r>
      <w:r>
        <w:t>to require an EU citizen to live outside the EU?</w:t>
      </w:r>
    </w:p>
    <w:p w:rsidR="00E412B4" w:rsidRDefault="00E412B4" w:rsidP="00CE2FB6">
      <w:pPr>
        <w:ind w:left="1980"/>
        <w:jc w:val="both"/>
      </w:pPr>
    </w:p>
    <w:p w:rsidR="00E412B4" w:rsidRDefault="00E412B4" w:rsidP="00CE2FB6">
      <w:pPr>
        <w:ind w:left="1134"/>
        <w:jc w:val="both"/>
      </w:pPr>
      <w:r>
        <w:t>For the claimant:</w:t>
      </w:r>
    </w:p>
    <w:p w:rsidR="001F40C2" w:rsidRDefault="001F40C2" w:rsidP="00CE2FB6">
      <w:pPr>
        <w:ind w:left="1134"/>
        <w:jc w:val="both"/>
      </w:pPr>
    </w:p>
    <w:p w:rsidR="00E412B4" w:rsidRDefault="00E412B4" w:rsidP="00CE2FB6">
      <w:pPr>
        <w:numPr>
          <w:ilvl w:val="4"/>
          <w:numId w:val="12"/>
        </w:numPr>
        <w:tabs>
          <w:tab w:val="clear" w:pos="3960"/>
        </w:tabs>
        <w:ind w:left="1980" w:firstLine="0"/>
        <w:jc w:val="both"/>
      </w:pPr>
      <w:r>
        <w:t>Now that the rules make express provision for Article 8 claims to remain, is it accepted that the circumstances whereby a person who fails under the rules but may succeed under the law relating to Article 8 will be narrower and will be exceptional having regard to the new criteria? If not why not?</w:t>
      </w:r>
    </w:p>
    <w:p w:rsidR="00E412B4" w:rsidRDefault="00E412B4" w:rsidP="00E412B4">
      <w:pPr>
        <w:ind w:left="360"/>
      </w:pPr>
    </w:p>
    <w:p w:rsidR="00E412B4" w:rsidRDefault="00661B68" w:rsidP="00E412B4">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We received the response of the Home Office on 24 October and the claimant in reply on 30 October 2012. We are grateful to the partie</w:t>
      </w:r>
      <w:r w:rsidR="00E412B4">
        <w:rPr>
          <w:rFonts w:ascii="Book Antiqua" w:hAnsi="Book Antiqua" w:cs="Arial"/>
        </w:rPr>
        <w:t>s for their written submissions.</w:t>
      </w:r>
      <w:r w:rsidR="0042111A">
        <w:rPr>
          <w:rFonts w:ascii="Book Antiqua" w:hAnsi="Book Antiqua" w:cs="Arial"/>
        </w:rPr>
        <w:t xml:space="preserve"> We append the Home Office submission to t</w:t>
      </w:r>
      <w:r w:rsidR="004C6182">
        <w:rPr>
          <w:rFonts w:ascii="Book Antiqua" w:hAnsi="Book Antiqua" w:cs="Arial"/>
        </w:rPr>
        <w:t>his determination as appendix A</w:t>
      </w:r>
      <w:r w:rsidR="00BA0A2F">
        <w:rPr>
          <w:rFonts w:ascii="Book Antiqua" w:hAnsi="Book Antiqua" w:cs="Arial"/>
        </w:rPr>
        <w:t xml:space="preserve">, in the light of the </w:t>
      </w:r>
      <w:r w:rsidR="0042111A">
        <w:rPr>
          <w:rFonts w:ascii="Book Antiqua" w:hAnsi="Book Antiqua" w:cs="Arial"/>
        </w:rPr>
        <w:t>potential importance to other</w:t>
      </w:r>
      <w:r w:rsidR="001F40C2">
        <w:rPr>
          <w:rFonts w:ascii="Book Antiqua" w:hAnsi="Book Antiqua" w:cs="Arial"/>
        </w:rPr>
        <w:t xml:space="preserve"> cases of the observations made and for completeness we append the claimant’s at appendix B.</w:t>
      </w:r>
    </w:p>
    <w:p w:rsidR="001F1AD8" w:rsidRDefault="00E412B4" w:rsidP="00E412B4">
      <w:pPr>
        <w:tabs>
          <w:tab w:val="left" w:pos="567"/>
        </w:tabs>
        <w:jc w:val="both"/>
        <w:rPr>
          <w:rFonts w:ascii="Book Antiqua" w:hAnsi="Book Antiqua" w:cs="Arial"/>
        </w:rPr>
      </w:pPr>
      <w:r>
        <w:rPr>
          <w:rFonts w:ascii="Book Antiqua" w:hAnsi="Book Antiqua" w:cs="Arial"/>
        </w:rPr>
        <w:t xml:space="preserve"> </w:t>
      </w:r>
    </w:p>
    <w:p w:rsidR="00557A4C" w:rsidRDefault="000A2074"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We</w:t>
      </w:r>
      <w:r w:rsidR="001F40C2">
        <w:rPr>
          <w:rFonts w:ascii="Book Antiqua" w:hAnsi="Book Antiqua" w:cs="Arial"/>
        </w:rPr>
        <w:t>,</w:t>
      </w:r>
      <w:r>
        <w:rPr>
          <w:rFonts w:ascii="Book Antiqua" w:hAnsi="Book Antiqua" w:cs="Arial"/>
        </w:rPr>
        <w:t xml:space="preserve"> nevertheless</w:t>
      </w:r>
      <w:r w:rsidR="001F40C2">
        <w:rPr>
          <w:rFonts w:ascii="Book Antiqua" w:hAnsi="Book Antiqua" w:cs="Arial"/>
        </w:rPr>
        <w:t>,</w:t>
      </w:r>
      <w:r>
        <w:rPr>
          <w:rFonts w:ascii="Book Antiqua" w:hAnsi="Book Antiqua" w:cs="Arial"/>
        </w:rPr>
        <w:t xml:space="preserve"> </w:t>
      </w:r>
      <w:r w:rsidR="00416DC3">
        <w:rPr>
          <w:rFonts w:ascii="Book Antiqua" w:hAnsi="Book Antiqua" w:cs="Arial"/>
        </w:rPr>
        <w:t xml:space="preserve">take this opportunity to express our dissatisfaction </w:t>
      </w:r>
      <w:r w:rsidR="00661B68">
        <w:rPr>
          <w:rFonts w:ascii="Book Antiqua" w:hAnsi="Book Antiqua" w:cs="Arial"/>
        </w:rPr>
        <w:t>at the appellant’s lack of preparedness in this case</w:t>
      </w:r>
      <w:r w:rsidR="00416DC3">
        <w:rPr>
          <w:rFonts w:ascii="Book Antiqua" w:hAnsi="Book Antiqua" w:cs="Arial"/>
        </w:rPr>
        <w:t>, although on what we were informed it does not appear to have been the individual responsibility of Mr Na</w:t>
      </w:r>
      <w:r w:rsidR="00DF5B9B">
        <w:rPr>
          <w:rFonts w:ascii="Book Antiqua" w:hAnsi="Book Antiqua" w:cs="Arial"/>
        </w:rPr>
        <w:t xml:space="preserve">th.  This was the Secretary </w:t>
      </w:r>
      <w:r w:rsidR="00416DC3">
        <w:rPr>
          <w:rFonts w:ascii="Book Antiqua" w:hAnsi="Book Antiqua" w:cs="Arial"/>
        </w:rPr>
        <w:t xml:space="preserve">of State’s appeal on a profoundly important new issue for determination by this Tribunal with potential impact on many cases being heard daily across the country.  Whenever an issue of this significance arises the </w:t>
      </w:r>
      <w:smartTag w:uri="urn:schemas-microsoft-com:office:smarttags" w:element="PlaceType">
        <w:r w:rsidR="00416DC3">
          <w:rPr>
            <w:rFonts w:ascii="Book Antiqua" w:hAnsi="Book Antiqua" w:cs="Arial"/>
          </w:rPr>
          <w:t>Upper Tribunal</w:t>
        </w:r>
      </w:smartTag>
      <w:r w:rsidR="00416DC3">
        <w:rPr>
          <w:rFonts w:ascii="Book Antiqua" w:hAnsi="Book Antiqua" w:cs="Arial"/>
        </w:rPr>
        <w:t xml:space="preserve"> is likely to </w:t>
      </w:r>
      <w:r w:rsidR="00336CE3">
        <w:rPr>
          <w:rFonts w:ascii="Book Antiqua" w:hAnsi="Book Antiqua" w:cs="Arial"/>
        </w:rPr>
        <w:t>constitute itself as</w:t>
      </w:r>
      <w:r w:rsidR="00416DC3">
        <w:rPr>
          <w:rFonts w:ascii="Book Antiqua" w:hAnsi="Book Antiqua" w:cs="Arial"/>
        </w:rPr>
        <w:t xml:space="preserve"> a panel and deploy the most senior judges available to it at the time. </w:t>
      </w:r>
      <w:r w:rsidR="000D7F39">
        <w:rPr>
          <w:rFonts w:ascii="Book Antiqua" w:hAnsi="Book Antiqua" w:cs="Arial"/>
        </w:rPr>
        <w:t xml:space="preserve"> </w:t>
      </w:r>
      <w:r w:rsidR="00416DC3">
        <w:rPr>
          <w:rFonts w:ascii="Book Antiqua" w:hAnsi="Book Antiqua" w:cs="Arial"/>
        </w:rPr>
        <w:t xml:space="preserve">It needs to give clear and comprehensive guidance to judges sitting throughout the </w:t>
      </w:r>
      <w:smartTag w:uri="urn:schemas-microsoft-com:office:smarttags" w:element="PlaceType">
        <w:r w:rsidR="00416DC3">
          <w:rPr>
            <w:rFonts w:ascii="Book Antiqua" w:hAnsi="Book Antiqua" w:cs="Arial"/>
          </w:rPr>
          <w:t>United Kingdom</w:t>
        </w:r>
      </w:smartTag>
      <w:r w:rsidR="00416DC3">
        <w:rPr>
          <w:rFonts w:ascii="Book Antiqua" w:hAnsi="Book Antiqua" w:cs="Arial"/>
        </w:rPr>
        <w:t xml:space="preserve"> as speed</w:t>
      </w:r>
      <w:r w:rsidR="00336CE3">
        <w:rPr>
          <w:rFonts w:ascii="Book Antiqua" w:hAnsi="Book Antiqua" w:cs="Arial"/>
        </w:rPr>
        <w:t>ily as possible.  Here there had</w:t>
      </w:r>
      <w:r w:rsidR="00416DC3">
        <w:rPr>
          <w:rFonts w:ascii="Book Antiqua" w:hAnsi="Book Antiqua" w:cs="Arial"/>
        </w:rPr>
        <w:t xml:space="preserve"> been a case management hearing attended</w:t>
      </w:r>
      <w:r w:rsidR="00336CE3">
        <w:rPr>
          <w:rFonts w:ascii="Book Antiqua" w:hAnsi="Book Antiqua" w:cs="Arial"/>
        </w:rPr>
        <w:t>,</w:t>
      </w:r>
      <w:r>
        <w:rPr>
          <w:rFonts w:ascii="Book Antiqua" w:hAnsi="Book Antiqua" w:cs="Arial"/>
        </w:rPr>
        <w:t xml:space="preserve"> we we</w:t>
      </w:r>
      <w:r w:rsidR="00416DC3">
        <w:rPr>
          <w:rFonts w:ascii="Book Antiqua" w:hAnsi="Book Antiqua" w:cs="Arial"/>
        </w:rPr>
        <w:t>re informed</w:t>
      </w:r>
      <w:r w:rsidR="00336CE3">
        <w:rPr>
          <w:rFonts w:ascii="Book Antiqua" w:hAnsi="Book Antiqua" w:cs="Arial"/>
        </w:rPr>
        <w:t>,</w:t>
      </w:r>
      <w:r w:rsidR="00416DC3">
        <w:rPr>
          <w:rFonts w:ascii="Book Antiqua" w:hAnsi="Book Antiqua" w:cs="Arial"/>
        </w:rPr>
        <w:t xml:space="preserve"> by a</w:t>
      </w:r>
      <w:r w:rsidR="00DF5B9B">
        <w:rPr>
          <w:rFonts w:ascii="Book Antiqua" w:hAnsi="Book Antiqua" w:cs="Arial"/>
        </w:rPr>
        <w:t xml:space="preserve"> Home O</w:t>
      </w:r>
      <w:r w:rsidR="00416DC3">
        <w:rPr>
          <w:rFonts w:ascii="Book Antiqua" w:hAnsi="Book Antiqua" w:cs="Arial"/>
        </w:rPr>
        <w:t xml:space="preserve">ffice Presenting Officer where the importance of the issue would have been made plain in the listing arrangements. </w:t>
      </w:r>
      <w:r w:rsidR="00DF5B9B">
        <w:rPr>
          <w:rFonts w:ascii="Book Antiqua" w:hAnsi="Book Antiqua" w:cs="Arial"/>
        </w:rPr>
        <w:t>Whether or not t</w:t>
      </w:r>
      <w:r>
        <w:rPr>
          <w:rFonts w:ascii="Book Antiqua" w:hAnsi="Book Antiqua" w:cs="Arial"/>
        </w:rPr>
        <w:t>he Presenting Officers</w:t>
      </w:r>
      <w:r w:rsidR="0042111A">
        <w:rPr>
          <w:rFonts w:ascii="Book Antiqua" w:hAnsi="Book Antiqua" w:cs="Arial"/>
        </w:rPr>
        <w:t>’</w:t>
      </w:r>
      <w:r>
        <w:rPr>
          <w:rFonts w:ascii="Book Antiqua" w:hAnsi="Book Antiqua" w:cs="Arial"/>
        </w:rPr>
        <w:t xml:space="preserve"> Unit was</w:t>
      </w:r>
      <w:r w:rsidR="00DF5B9B">
        <w:rPr>
          <w:rFonts w:ascii="Book Antiqua" w:hAnsi="Book Antiqua" w:cs="Arial"/>
        </w:rPr>
        <w:t xml:space="preserve"> aware that the President and a judge of the Court of </w:t>
      </w:r>
      <w:r w:rsidR="008C4A0E">
        <w:rPr>
          <w:rFonts w:ascii="Book Antiqua" w:hAnsi="Book Antiqua" w:cs="Arial"/>
        </w:rPr>
        <w:t>S</w:t>
      </w:r>
      <w:r w:rsidR="00DF5B9B">
        <w:rPr>
          <w:rFonts w:ascii="Book Antiqua" w:hAnsi="Book Antiqua" w:cs="Arial"/>
        </w:rPr>
        <w:t>ession were to sit on this appeal is not the point.  The Tribunal is entitled to expect that any advocate before it will be properly briefed with the relevant documents, fully prepared to address the issues that every</w:t>
      </w:r>
      <w:r w:rsidR="00336CE3">
        <w:rPr>
          <w:rFonts w:ascii="Book Antiqua" w:hAnsi="Book Antiqua" w:cs="Arial"/>
        </w:rPr>
        <w:t>body is aware arises</w:t>
      </w:r>
      <w:r w:rsidR="00DF5B9B">
        <w:rPr>
          <w:rFonts w:ascii="Book Antiqua" w:hAnsi="Book Antiqua" w:cs="Arial"/>
        </w:rPr>
        <w:t xml:space="preserve">, and </w:t>
      </w:r>
      <w:r w:rsidR="00336CE3">
        <w:rPr>
          <w:rFonts w:ascii="Book Antiqua" w:hAnsi="Book Antiqua" w:cs="Arial"/>
        </w:rPr>
        <w:t xml:space="preserve">is </w:t>
      </w:r>
      <w:r w:rsidR="00DF5B9B">
        <w:rPr>
          <w:rFonts w:ascii="Book Antiqua" w:hAnsi="Book Antiqua" w:cs="Arial"/>
        </w:rPr>
        <w:t xml:space="preserve">capable of addressing the issues orally when they arise. Not for the first time, </w:t>
      </w:r>
      <w:r>
        <w:rPr>
          <w:rFonts w:ascii="Book Antiqua" w:hAnsi="Book Antiqua" w:cs="Arial"/>
        </w:rPr>
        <w:t xml:space="preserve">we conclude that </w:t>
      </w:r>
      <w:r w:rsidR="00DF5B9B">
        <w:rPr>
          <w:rFonts w:ascii="Book Antiqua" w:hAnsi="Book Antiqua" w:cs="Arial"/>
        </w:rPr>
        <w:t>there has been a failure by UKBA of its duty of co-operation with the Tribunal to advance the over-riding objective of fast, fair and efficient adjudication.</w:t>
      </w:r>
    </w:p>
    <w:p w:rsidR="000E61D5" w:rsidRDefault="000E61D5" w:rsidP="000E61D5">
      <w:pPr>
        <w:tabs>
          <w:tab w:val="left" w:pos="567"/>
        </w:tabs>
        <w:jc w:val="both"/>
        <w:rPr>
          <w:rFonts w:ascii="Book Antiqua" w:hAnsi="Book Antiqua" w:cs="Arial"/>
        </w:rPr>
      </w:pPr>
    </w:p>
    <w:p w:rsidR="00661B68" w:rsidRDefault="00A557C2"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As it happens the urgency of this</w:t>
      </w:r>
      <w:r w:rsidR="00681825">
        <w:rPr>
          <w:rFonts w:ascii="Book Antiqua" w:hAnsi="Book Antiqua" w:cs="Arial"/>
        </w:rPr>
        <w:t xml:space="preserve"> case as a guideline</w:t>
      </w:r>
      <w:r w:rsidR="00661B68">
        <w:rPr>
          <w:rFonts w:ascii="Book Antiqua" w:hAnsi="Book Antiqua" w:cs="Arial"/>
        </w:rPr>
        <w:t xml:space="preserve"> decision has been mitigated by the decision of the UT </w:t>
      </w:r>
      <w:r w:rsidR="000A2074">
        <w:rPr>
          <w:rFonts w:ascii="Book Antiqua" w:hAnsi="Book Antiqua" w:cs="Arial"/>
        </w:rPr>
        <w:t xml:space="preserve">in </w:t>
      </w:r>
      <w:r w:rsidR="000A2074" w:rsidRPr="00A557C2">
        <w:rPr>
          <w:rFonts w:ascii="Book Antiqua" w:hAnsi="Book Antiqua" w:cs="Arial"/>
          <w:u w:val="single"/>
        </w:rPr>
        <w:t>MF</w:t>
      </w:r>
      <w:r w:rsidR="00661B68" w:rsidRPr="00A557C2">
        <w:rPr>
          <w:rFonts w:ascii="Book Antiqua" w:hAnsi="Book Antiqua" w:cs="Arial"/>
          <w:u w:val="single"/>
        </w:rPr>
        <w:t xml:space="preserve"> </w:t>
      </w:r>
      <w:r>
        <w:rPr>
          <w:rFonts w:ascii="Book Antiqua" w:hAnsi="Book Antiqua" w:cs="Arial"/>
          <w:u w:val="single"/>
        </w:rPr>
        <w:t>(Article 8</w:t>
      </w:r>
      <w:r w:rsidR="00661B68" w:rsidRPr="00661B68">
        <w:rPr>
          <w:rFonts w:ascii="Book Antiqua" w:hAnsi="Book Antiqua" w:cs="Arial"/>
          <w:u w:val="single"/>
        </w:rPr>
        <w:t xml:space="preserve">–new rules) </w:t>
      </w:r>
      <w:smartTag w:uri="urn:schemas-microsoft-com:office:smarttags" w:element="PlaceType">
        <w:r w:rsidR="00661B68" w:rsidRPr="00661B68">
          <w:rPr>
            <w:rFonts w:ascii="Book Antiqua" w:hAnsi="Book Antiqua" w:cs="Arial"/>
            <w:u w:val="single"/>
          </w:rPr>
          <w:t>Nigeria</w:t>
        </w:r>
      </w:smartTag>
      <w:r w:rsidR="00661B68">
        <w:rPr>
          <w:rFonts w:ascii="Book Antiqua" w:hAnsi="Book Antiqua" w:cs="Arial"/>
        </w:rPr>
        <w:t xml:space="preserve"> [2012] </w:t>
      </w:r>
      <w:r w:rsidR="000A2074">
        <w:rPr>
          <w:rFonts w:ascii="Book Antiqua" w:hAnsi="Book Antiqua" w:cs="Arial"/>
        </w:rPr>
        <w:t>00393 (</w:t>
      </w:r>
      <w:r w:rsidR="00661B68">
        <w:rPr>
          <w:rFonts w:ascii="Book Antiqua" w:hAnsi="Book Antiqua" w:cs="Arial"/>
        </w:rPr>
        <w:t xml:space="preserve">IAC) promulgated </w:t>
      </w:r>
      <w:r>
        <w:rPr>
          <w:rFonts w:ascii="Book Antiqua" w:hAnsi="Book Antiqua" w:cs="Arial"/>
        </w:rPr>
        <w:t xml:space="preserve">on 31 </w:t>
      </w:r>
      <w:r w:rsidR="005759B5">
        <w:rPr>
          <w:rFonts w:ascii="Book Antiqua" w:hAnsi="Book Antiqua" w:cs="Arial"/>
        </w:rPr>
        <w:t>October 2012</w:t>
      </w:r>
      <w:r w:rsidR="00661B68">
        <w:rPr>
          <w:rFonts w:ascii="Book Antiqua" w:hAnsi="Book Antiqua" w:cs="Arial"/>
        </w:rPr>
        <w:t>.</w:t>
      </w:r>
    </w:p>
    <w:p w:rsidR="00DF5B9B" w:rsidRDefault="00DF5B9B" w:rsidP="004F7173">
      <w:pPr>
        <w:tabs>
          <w:tab w:val="num" w:pos="540"/>
          <w:tab w:val="left" w:pos="567"/>
        </w:tabs>
        <w:ind w:left="540" w:hanging="540"/>
        <w:jc w:val="both"/>
        <w:rPr>
          <w:rFonts w:ascii="Book Antiqua" w:hAnsi="Book Antiqua" w:cs="Arial"/>
        </w:rPr>
      </w:pPr>
    </w:p>
    <w:p w:rsidR="00DF5B9B" w:rsidRDefault="000D7F39" w:rsidP="004F7173">
      <w:pPr>
        <w:tabs>
          <w:tab w:val="num" w:pos="540"/>
          <w:tab w:val="left" w:pos="567"/>
        </w:tabs>
        <w:ind w:left="540" w:hanging="540"/>
        <w:jc w:val="both"/>
        <w:outlineLvl w:val="0"/>
        <w:rPr>
          <w:rFonts w:ascii="Book Antiqua" w:hAnsi="Book Antiqua" w:cs="Arial"/>
          <w:u w:val="single"/>
        </w:rPr>
      </w:pPr>
      <w:r>
        <w:rPr>
          <w:rFonts w:ascii="Book Antiqua" w:hAnsi="Book Antiqua" w:cs="Arial"/>
          <w:u w:val="single"/>
        </w:rPr>
        <w:t>The F</w:t>
      </w:r>
      <w:r w:rsidR="00DF5B9B" w:rsidRPr="00DF5B9B">
        <w:rPr>
          <w:rFonts w:ascii="Book Antiqua" w:hAnsi="Book Antiqua" w:cs="Arial"/>
          <w:u w:val="single"/>
        </w:rPr>
        <w:t>acts</w:t>
      </w:r>
    </w:p>
    <w:p w:rsidR="000E61D5" w:rsidRDefault="000E61D5" w:rsidP="000E61D5">
      <w:pPr>
        <w:tabs>
          <w:tab w:val="left" w:pos="567"/>
        </w:tabs>
        <w:jc w:val="both"/>
        <w:rPr>
          <w:rFonts w:ascii="Book Antiqua" w:hAnsi="Book Antiqua" w:cs="Arial"/>
        </w:rPr>
      </w:pPr>
    </w:p>
    <w:p w:rsidR="00DF5B9B" w:rsidRDefault="00DF5B9B"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The claimant </w:t>
      </w:r>
      <w:r w:rsidR="00675C59">
        <w:rPr>
          <w:rFonts w:ascii="Book Antiqua" w:hAnsi="Book Antiqua" w:cs="Arial"/>
        </w:rPr>
        <w:t xml:space="preserve">is a citizen of </w:t>
      </w:r>
      <w:smartTag w:uri="urn:schemas-microsoft-com:office:smarttags" w:element="PlaceType">
        <w:r w:rsidR="00675C59">
          <w:rPr>
            <w:rFonts w:ascii="Book Antiqua" w:hAnsi="Book Antiqua" w:cs="Arial"/>
          </w:rPr>
          <w:t>Nigeria</w:t>
        </w:r>
      </w:smartTag>
      <w:r w:rsidR="00675C59">
        <w:rPr>
          <w:rFonts w:ascii="Book Antiqua" w:hAnsi="Book Antiqua" w:cs="Arial"/>
        </w:rPr>
        <w:t xml:space="preserve">. </w:t>
      </w:r>
      <w:r w:rsidR="000D7F39">
        <w:rPr>
          <w:rFonts w:ascii="Book Antiqua" w:hAnsi="Book Antiqua" w:cs="Arial"/>
        </w:rPr>
        <w:t xml:space="preserve"> </w:t>
      </w:r>
      <w:r w:rsidR="00675C59">
        <w:rPr>
          <w:rFonts w:ascii="Book Antiqua" w:hAnsi="Book Antiqua" w:cs="Arial"/>
        </w:rPr>
        <w:t xml:space="preserve">She was born in 1967, married in 1989 and has five children by a marriage that broke down between 2006 and 2008. </w:t>
      </w:r>
      <w:r w:rsidR="000D7F39">
        <w:rPr>
          <w:rFonts w:ascii="Book Antiqua" w:hAnsi="Book Antiqua" w:cs="Arial"/>
        </w:rPr>
        <w:t xml:space="preserve"> </w:t>
      </w:r>
      <w:r w:rsidR="00675C59">
        <w:rPr>
          <w:rFonts w:ascii="Book Antiqua" w:hAnsi="Book Antiqua" w:cs="Arial"/>
        </w:rPr>
        <w:t xml:space="preserve">From October 2005 to November 2007 she made a number of visits to the </w:t>
      </w:r>
      <w:smartTag w:uri="urn:schemas-microsoft-com:office:smarttags" w:element="PlaceType">
        <w:r w:rsidR="00675C59">
          <w:rPr>
            <w:rFonts w:ascii="Book Antiqua" w:hAnsi="Book Antiqua" w:cs="Arial"/>
          </w:rPr>
          <w:t>United Kingdom</w:t>
        </w:r>
      </w:smartTag>
      <w:r w:rsidR="00675C59">
        <w:rPr>
          <w:rFonts w:ascii="Book Antiqua" w:hAnsi="Book Antiqua" w:cs="Arial"/>
        </w:rPr>
        <w:t xml:space="preserve"> on multiple entry visas, the last of which was issued in October 2007 for five years.  It was during these visits that she met Mr Akinola.</w:t>
      </w:r>
    </w:p>
    <w:p w:rsidR="00675C59" w:rsidRDefault="00675C59" w:rsidP="004F7173">
      <w:pPr>
        <w:tabs>
          <w:tab w:val="num" w:pos="540"/>
          <w:tab w:val="left" w:pos="567"/>
        </w:tabs>
        <w:ind w:left="540" w:hanging="540"/>
        <w:jc w:val="both"/>
        <w:rPr>
          <w:rFonts w:ascii="Book Antiqua" w:hAnsi="Book Antiqua" w:cs="Arial"/>
        </w:rPr>
      </w:pPr>
    </w:p>
    <w:p w:rsidR="00557A4C" w:rsidRDefault="00675C59"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On 4 May 2008 the claimant entered the </w:t>
      </w:r>
      <w:smartTag w:uri="urn:schemas-microsoft-com:office:smarttags" w:element="PlaceType">
        <w:r>
          <w:rPr>
            <w:rFonts w:ascii="Book Antiqua" w:hAnsi="Book Antiqua" w:cs="Arial"/>
          </w:rPr>
          <w:t>United Kingdom</w:t>
        </w:r>
      </w:smartTag>
      <w:r>
        <w:rPr>
          <w:rFonts w:ascii="Book Antiqua" w:hAnsi="Book Antiqua" w:cs="Arial"/>
        </w:rPr>
        <w:t xml:space="preserve"> again as a visitor.</w:t>
      </w:r>
      <w:r w:rsidR="000D7F39">
        <w:rPr>
          <w:rFonts w:ascii="Book Antiqua" w:hAnsi="Book Antiqua" w:cs="Arial"/>
        </w:rPr>
        <w:t xml:space="preserve"> </w:t>
      </w:r>
      <w:r>
        <w:rPr>
          <w:rFonts w:ascii="Book Antiqua" w:hAnsi="Book Antiqua" w:cs="Arial"/>
        </w:rPr>
        <w:t xml:space="preserve"> On this occasion she overstayed her leave to remain by 10 months</w:t>
      </w:r>
      <w:r w:rsidR="00F155FA">
        <w:rPr>
          <w:rFonts w:ascii="Book Antiqua" w:hAnsi="Book Antiqua" w:cs="Arial"/>
        </w:rPr>
        <w:t xml:space="preserve">. </w:t>
      </w:r>
      <w:r w:rsidR="000D7F39">
        <w:rPr>
          <w:rFonts w:ascii="Book Antiqua" w:hAnsi="Book Antiqua" w:cs="Arial"/>
        </w:rPr>
        <w:t xml:space="preserve"> </w:t>
      </w:r>
      <w:r w:rsidR="00F155FA">
        <w:rPr>
          <w:rFonts w:ascii="Book Antiqua" w:hAnsi="Book Antiqua" w:cs="Arial"/>
        </w:rPr>
        <w:t xml:space="preserve">She returned to the </w:t>
      </w:r>
      <w:smartTag w:uri="urn:schemas-microsoft-com:office:smarttags" w:element="PlaceType">
        <w:r w:rsidR="00F155FA">
          <w:rPr>
            <w:rFonts w:ascii="Book Antiqua" w:hAnsi="Book Antiqua" w:cs="Arial"/>
          </w:rPr>
          <w:t>United Kingdom</w:t>
        </w:r>
      </w:smartTag>
      <w:r w:rsidR="00F155FA">
        <w:rPr>
          <w:rFonts w:ascii="Book Antiqua" w:hAnsi="Book Antiqua" w:cs="Arial"/>
        </w:rPr>
        <w:t xml:space="preserve"> after a </w:t>
      </w:r>
      <w:r w:rsidR="00C20C5A">
        <w:rPr>
          <w:rFonts w:ascii="Book Antiqua" w:hAnsi="Book Antiqua" w:cs="Arial"/>
        </w:rPr>
        <w:t>short break away and again over-</w:t>
      </w:r>
      <w:r w:rsidR="00F155FA">
        <w:rPr>
          <w:rFonts w:ascii="Book Antiqua" w:hAnsi="Book Antiqua" w:cs="Arial"/>
        </w:rPr>
        <w:t xml:space="preserve">stayed her leave to remain by two years. </w:t>
      </w:r>
      <w:r w:rsidR="000D7F39">
        <w:rPr>
          <w:rFonts w:ascii="Book Antiqua" w:hAnsi="Book Antiqua" w:cs="Arial"/>
        </w:rPr>
        <w:t xml:space="preserve"> </w:t>
      </w:r>
      <w:r w:rsidR="00F155FA">
        <w:rPr>
          <w:rFonts w:ascii="Book Antiqua" w:hAnsi="Book Antiqua" w:cs="Arial"/>
        </w:rPr>
        <w:t xml:space="preserve">Subsequently evidence </w:t>
      </w:r>
      <w:r w:rsidR="0042111A">
        <w:rPr>
          <w:rFonts w:ascii="Book Antiqua" w:hAnsi="Book Antiqua" w:cs="Arial"/>
        </w:rPr>
        <w:t xml:space="preserve">came </w:t>
      </w:r>
      <w:r w:rsidR="00F155FA">
        <w:rPr>
          <w:rFonts w:ascii="Book Antiqua" w:hAnsi="Book Antiqua" w:cs="Arial"/>
        </w:rPr>
        <w:t xml:space="preserve">to light </w:t>
      </w:r>
      <w:r w:rsidR="0042111A">
        <w:rPr>
          <w:rFonts w:ascii="Book Antiqua" w:hAnsi="Book Antiqua" w:cs="Arial"/>
        </w:rPr>
        <w:t xml:space="preserve">that </w:t>
      </w:r>
      <w:r w:rsidR="00F155FA">
        <w:rPr>
          <w:rFonts w:ascii="Book Antiqua" w:hAnsi="Book Antiqua" w:cs="Arial"/>
        </w:rPr>
        <w:t xml:space="preserve">indicated that </w:t>
      </w:r>
      <w:r w:rsidR="0042111A">
        <w:rPr>
          <w:rFonts w:ascii="Book Antiqua" w:hAnsi="Book Antiqua" w:cs="Arial"/>
        </w:rPr>
        <w:t xml:space="preserve">during this period </w:t>
      </w:r>
      <w:r w:rsidR="00F155FA">
        <w:rPr>
          <w:rFonts w:ascii="Book Antiqua" w:hAnsi="Book Antiqua" w:cs="Arial"/>
        </w:rPr>
        <w:t xml:space="preserve">she had started working in the </w:t>
      </w:r>
      <w:smartTag w:uri="urn:schemas-microsoft-com:office:smarttags" w:element="PlaceType">
        <w:r w:rsidR="00F155FA">
          <w:rPr>
            <w:rFonts w:ascii="Book Antiqua" w:hAnsi="Book Antiqua" w:cs="Arial"/>
          </w:rPr>
          <w:t>United Kingdom</w:t>
        </w:r>
      </w:smartTag>
      <w:r w:rsidR="00F155FA">
        <w:rPr>
          <w:rFonts w:ascii="Book Antiqua" w:hAnsi="Book Antiqua" w:cs="Arial"/>
        </w:rPr>
        <w:t xml:space="preserve"> using false identity papers. </w:t>
      </w:r>
    </w:p>
    <w:p w:rsidR="00F155FA" w:rsidRDefault="00F155FA" w:rsidP="004F7173">
      <w:pPr>
        <w:tabs>
          <w:tab w:val="num" w:pos="540"/>
          <w:tab w:val="left" w:pos="567"/>
        </w:tabs>
        <w:ind w:left="540" w:hanging="540"/>
        <w:jc w:val="both"/>
        <w:rPr>
          <w:rFonts w:ascii="Book Antiqua" w:hAnsi="Book Antiqua" w:cs="Arial"/>
        </w:rPr>
      </w:pPr>
    </w:p>
    <w:p w:rsidR="00336CE3" w:rsidRDefault="00F155FA"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In March 2012 she travelled to </w:t>
      </w:r>
      <w:smartTag w:uri="urn:schemas-microsoft-com:office:smarttags" w:element="PlaceType">
        <w:r>
          <w:rPr>
            <w:rFonts w:ascii="Book Antiqua" w:hAnsi="Book Antiqua" w:cs="Arial"/>
          </w:rPr>
          <w:t>Nigeria</w:t>
        </w:r>
      </w:smartTag>
      <w:r>
        <w:rPr>
          <w:rFonts w:ascii="Book Antiqua" w:hAnsi="Book Antiqua" w:cs="Arial"/>
        </w:rPr>
        <w:t xml:space="preserve"> with Mr. Akinola. She </w:t>
      </w:r>
      <w:r w:rsidR="00F145C2">
        <w:rPr>
          <w:rFonts w:ascii="Book Antiqua" w:hAnsi="Book Antiqua" w:cs="Arial"/>
        </w:rPr>
        <w:t>applied for</w:t>
      </w:r>
      <w:r>
        <w:rPr>
          <w:rFonts w:ascii="Book Antiqua" w:hAnsi="Book Antiqua" w:cs="Arial"/>
        </w:rPr>
        <w:t xml:space="preserve"> entry clearance as a spouse and the application was refused in April 2012, because the ECO was not satisfied that the relationship between the parties was genuine or that the accommodation that Mr Akinola personally occupied (one room in a flat that was rented out to others) was sufficient for the couple and the claimant’s youngest daughter by her previous marriage. </w:t>
      </w:r>
    </w:p>
    <w:p w:rsidR="00336CE3" w:rsidRDefault="00336CE3" w:rsidP="00336CE3">
      <w:pPr>
        <w:tabs>
          <w:tab w:val="left" w:pos="567"/>
        </w:tabs>
        <w:jc w:val="both"/>
        <w:rPr>
          <w:rFonts w:ascii="Book Antiqua" w:hAnsi="Book Antiqua" w:cs="Arial"/>
        </w:rPr>
      </w:pPr>
    </w:p>
    <w:p w:rsidR="00F155FA" w:rsidRDefault="00F155FA"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An appeal was lodged but the claimant returned to the </w:t>
      </w:r>
      <w:smartTag w:uri="urn:schemas-microsoft-com:office:smarttags" w:element="PlaceType">
        <w:r>
          <w:rPr>
            <w:rFonts w:ascii="Book Antiqua" w:hAnsi="Book Antiqua" w:cs="Arial"/>
          </w:rPr>
          <w:t>United Kingdom</w:t>
        </w:r>
      </w:smartTag>
      <w:r>
        <w:rPr>
          <w:rFonts w:ascii="Book Antiqua" w:hAnsi="Book Antiqua" w:cs="Arial"/>
        </w:rPr>
        <w:t xml:space="preserve"> on the 16 May 2012 where she once more sought to enter as a visitor. On this occasion the false identity papers and false </w:t>
      </w:r>
      <w:r w:rsidR="000D7F39">
        <w:rPr>
          <w:rFonts w:ascii="Book Antiqua" w:hAnsi="Book Antiqua" w:cs="Arial"/>
        </w:rPr>
        <w:t>N</w:t>
      </w:r>
      <w:r>
        <w:rPr>
          <w:rFonts w:ascii="Book Antiqua" w:hAnsi="Book Antiqua" w:cs="Arial"/>
        </w:rPr>
        <w:t xml:space="preserve">ational Insurance number came to light.  She was charged with offences in respect of these documents to which she pleaded guilty at the </w:t>
      </w:r>
      <w:smartTag w:uri="urn:schemas-microsoft-com:office:smarttags" w:element="PlaceType">
        <w:r>
          <w:rPr>
            <w:rFonts w:ascii="Book Antiqua" w:hAnsi="Book Antiqua" w:cs="Arial"/>
          </w:rPr>
          <w:t>Magistrates Court</w:t>
        </w:r>
      </w:smartTag>
      <w:r>
        <w:rPr>
          <w:rFonts w:ascii="Book Antiqua" w:hAnsi="Book Antiqua" w:cs="Arial"/>
        </w:rPr>
        <w:t xml:space="preserve"> on 18 May and was given a sentence of twelve weeks</w:t>
      </w:r>
      <w:r w:rsidR="000D7F39">
        <w:rPr>
          <w:rFonts w:ascii="Book Antiqua" w:hAnsi="Book Antiqua" w:cs="Arial"/>
        </w:rPr>
        <w:t>’</w:t>
      </w:r>
      <w:r>
        <w:rPr>
          <w:rFonts w:ascii="Book Antiqua" w:hAnsi="Book Antiqua" w:cs="Arial"/>
        </w:rPr>
        <w:t xml:space="preserve"> imprisonment. </w:t>
      </w:r>
      <w:r w:rsidR="000D7F39">
        <w:rPr>
          <w:rFonts w:ascii="Book Antiqua" w:hAnsi="Book Antiqua" w:cs="Arial"/>
        </w:rPr>
        <w:t xml:space="preserve"> S</w:t>
      </w:r>
      <w:r>
        <w:rPr>
          <w:rFonts w:ascii="Book Antiqua" w:hAnsi="Book Antiqua" w:cs="Arial"/>
        </w:rPr>
        <w:t>he was transferred to immigration detention on 29 June 2012. She then made a claim for asylum which she withdrew and then re</w:t>
      </w:r>
      <w:r w:rsidR="009C1583">
        <w:rPr>
          <w:rFonts w:ascii="Book Antiqua" w:hAnsi="Book Antiqua" w:cs="Arial"/>
        </w:rPr>
        <w:t>-</w:t>
      </w:r>
      <w:r>
        <w:rPr>
          <w:rFonts w:ascii="Book Antiqua" w:hAnsi="Book Antiqua" w:cs="Arial"/>
        </w:rPr>
        <w:t>instated</w:t>
      </w:r>
      <w:r w:rsidR="00336CE3">
        <w:rPr>
          <w:rFonts w:ascii="Book Antiqua" w:hAnsi="Book Antiqua" w:cs="Arial"/>
        </w:rPr>
        <w:t xml:space="preserve">. The decision to refuse her leave to enter </w:t>
      </w:r>
      <w:r w:rsidR="00681825">
        <w:rPr>
          <w:rFonts w:ascii="Book Antiqua" w:hAnsi="Book Antiqua" w:cs="Arial"/>
        </w:rPr>
        <w:t xml:space="preserve">on asylum and human rights grounds </w:t>
      </w:r>
      <w:r w:rsidR="00336CE3">
        <w:rPr>
          <w:rFonts w:ascii="Book Antiqua" w:hAnsi="Book Antiqua" w:cs="Arial"/>
        </w:rPr>
        <w:t xml:space="preserve">was taken on 18 July </w:t>
      </w:r>
      <w:r w:rsidR="00661F2E">
        <w:rPr>
          <w:rFonts w:ascii="Book Antiqua" w:hAnsi="Book Antiqua" w:cs="Arial"/>
        </w:rPr>
        <w:t>2012 and</w:t>
      </w:r>
      <w:r>
        <w:rPr>
          <w:rFonts w:ascii="Book Antiqua" w:hAnsi="Book Antiqua" w:cs="Arial"/>
        </w:rPr>
        <w:t xml:space="preserve"> her appeal was heard before</w:t>
      </w:r>
      <w:r w:rsidR="00336CE3">
        <w:rPr>
          <w:rFonts w:ascii="Book Antiqua" w:hAnsi="Book Antiqua" w:cs="Arial"/>
        </w:rPr>
        <w:t xml:space="preserve"> Judge Keane sitting at the Yar</w:t>
      </w:r>
      <w:r>
        <w:rPr>
          <w:rFonts w:ascii="Book Antiqua" w:hAnsi="Book Antiqua" w:cs="Arial"/>
        </w:rPr>
        <w:t>l</w:t>
      </w:r>
      <w:r w:rsidR="00336CE3">
        <w:rPr>
          <w:rFonts w:ascii="Book Antiqua" w:hAnsi="Book Antiqua" w:cs="Arial"/>
        </w:rPr>
        <w:t>s</w:t>
      </w:r>
      <w:r>
        <w:rPr>
          <w:rFonts w:ascii="Book Antiqua" w:hAnsi="Book Antiqua" w:cs="Arial"/>
        </w:rPr>
        <w:t>wood detention and removal centre.</w:t>
      </w:r>
    </w:p>
    <w:p w:rsidR="000D7F39" w:rsidRDefault="000D7F39" w:rsidP="000D7F39">
      <w:pPr>
        <w:tabs>
          <w:tab w:val="left" w:pos="567"/>
        </w:tabs>
        <w:jc w:val="both"/>
        <w:rPr>
          <w:rFonts w:ascii="Book Antiqua" w:hAnsi="Book Antiqua" w:cs="Arial"/>
        </w:rPr>
      </w:pPr>
    </w:p>
    <w:p w:rsidR="00F145C2" w:rsidRDefault="00F145C2"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Notwithstanding this history of deceit, the judge found the claimant to be a credible witness and genuine in her fear of her violent former husband and </w:t>
      </w:r>
      <w:r w:rsidR="00A557C2">
        <w:rPr>
          <w:rFonts w:ascii="Book Antiqua" w:hAnsi="Book Antiqua" w:cs="Arial"/>
        </w:rPr>
        <w:t xml:space="preserve">of </w:t>
      </w:r>
      <w:r>
        <w:rPr>
          <w:rFonts w:ascii="Book Antiqua" w:hAnsi="Book Antiqua" w:cs="Arial"/>
        </w:rPr>
        <w:t xml:space="preserve">being the victim of serious crime in </w:t>
      </w:r>
      <w:smartTag w:uri="urn:schemas-microsoft-com:office:smarttags" w:element="PlaceType">
        <w:r>
          <w:rPr>
            <w:rFonts w:ascii="Book Antiqua" w:hAnsi="Book Antiqua" w:cs="Arial"/>
          </w:rPr>
          <w:t>Nigeria</w:t>
        </w:r>
      </w:smartTag>
      <w:r>
        <w:rPr>
          <w:rFonts w:ascii="Book Antiqua" w:hAnsi="Book Antiqua" w:cs="Arial"/>
        </w:rPr>
        <w:t xml:space="preserve">. </w:t>
      </w:r>
      <w:r w:rsidR="000D7F39">
        <w:rPr>
          <w:rFonts w:ascii="Book Antiqua" w:hAnsi="Book Antiqua" w:cs="Arial"/>
        </w:rPr>
        <w:t xml:space="preserve"> </w:t>
      </w:r>
      <w:r>
        <w:rPr>
          <w:rFonts w:ascii="Book Antiqua" w:hAnsi="Book Antiqua" w:cs="Arial"/>
        </w:rPr>
        <w:t xml:space="preserve">He nevertheless dismissed her asylum claim as it did not relate to criteria for protection and there was adequate protection available in </w:t>
      </w:r>
      <w:smartTag w:uri="urn:schemas-microsoft-com:office:smarttags" w:element="PlaceType">
        <w:r>
          <w:rPr>
            <w:rFonts w:ascii="Book Antiqua" w:hAnsi="Book Antiqua" w:cs="Arial"/>
          </w:rPr>
          <w:t>Nigeria</w:t>
        </w:r>
      </w:smartTag>
      <w:r>
        <w:rPr>
          <w:rFonts w:ascii="Book Antiqua" w:hAnsi="Book Antiqua" w:cs="Arial"/>
        </w:rPr>
        <w:t xml:space="preserve"> against the harm feared. </w:t>
      </w:r>
      <w:r w:rsidR="000D7F39">
        <w:rPr>
          <w:rFonts w:ascii="Book Antiqua" w:hAnsi="Book Antiqua" w:cs="Arial"/>
        </w:rPr>
        <w:t xml:space="preserve"> </w:t>
      </w:r>
      <w:r>
        <w:rPr>
          <w:rFonts w:ascii="Book Antiqua" w:hAnsi="Book Antiqua" w:cs="Arial"/>
        </w:rPr>
        <w:t>No issue arises in respect of that decision on the appeal before us.</w:t>
      </w:r>
    </w:p>
    <w:p w:rsidR="00F145C2" w:rsidRDefault="00F145C2" w:rsidP="004F7173">
      <w:pPr>
        <w:tabs>
          <w:tab w:val="num" w:pos="540"/>
          <w:tab w:val="left" w:pos="567"/>
        </w:tabs>
        <w:ind w:left="540" w:hanging="540"/>
        <w:jc w:val="both"/>
        <w:rPr>
          <w:rFonts w:ascii="Book Antiqua" w:hAnsi="Book Antiqua" w:cs="Arial"/>
        </w:rPr>
      </w:pPr>
    </w:p>
    <w:p w:rsidR="00F145C2" w:rsidRDefault="00F145C2"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 The judge also heard from Mr Akinola and another witness to the relationship</w:t>
      </w:r>
      <w:r w:rsidR="00A557C2">
        <w:rPr>
          <w:rFonts w:ascii="Book Antiqua" w:hAnsi="Book Antiqua" w:cs="Arial"/>
        </w:rPr>
        <w:t xml:space="preserve"> between him and the claimant. </w:t>
      </w:r>
      <w:r>
        <w:rPr>
          <w:rFonts w:ascii="Book Antiqua" w:hAnsi="Book Antiqua" w:cs="Arial"/>
        </w:rPr>
        <w:t>He was satisfied that there was a genuine relationship of three years plus duration even though the parties had not been living together as man and wife. Mr Akinola was of Nigerian origin</w:t>
      </w:r>
      <w:r w:rsidR="00CE2FB6">
        <w:rPr>
          <w:rFonts w:ascii="Book Antiqua" w:hAnsi="Book Antiqua" w:cs="Arial"/>
        </w:rPr>
        <w:t>.</w:t>
      </w:r>
      <w:r w:rsidR="00681825">
        <w:rPr>
          <w:rFonts w:ascii="Book Antiqua" w:hAnsi="Book Antiqua" w:cs="Arial"/>
        </w:rPr>
        <w:t xml:space="preserve"> He</w:t>
      </w:r>
      <w:r>
        <w:rPr>
          <w:rFonts w:ascii="Book Antiqua" w:hAnsi="Book Antiqua" w:cs="Arial"/>
        </w:rPr>
        <w:t xml:space="preserve"> had come to the </w:t>
      </w:r>
      <w:smartTag w:uri="urn:schemas-microsoft-com:office:smarttags" w:element="PlaceType">
        <w:r>
          <w:rPr>
            <w:rFonts w:ascii="Book Antiqua" w:hAnsi="Book Antiqua" w:cs="Arial"/>
          </w:rPr>
          <w:t>United Kingdom</w:t>
        </w:r>
      </w:smartTag>
      <w:r>
        <w:rPr>
          <w:rFonts w:ascii="Book Antiqua" w:hAnsi="Book Antiqua" w:cs="Arial"/>
        </w:rPr>
        <w:t xml:space="preserve"> in 1989.  </w:t>
      </w:r>
      <w:r w:rsidR="000D7F39">
        <w:rPr>
          <w:rFonts w:ascii="Book Antiqua" w:hAnsi="Book Antiqua" w:cs="Arial"/>
        </w:rPr>
        <w:t>He was now a British citizen</w:t>
      </w:r>
      <w:r w:rsidR="004C6182">
        <w:rPr>
          <w:rFonts w:ascii="Book Antiqua" w:hAnsi="Book Antiqua" w:cs="Arial"/>
        </w:rPr>
        <w:t xml:space="preserve">. He had </w:t>
      </w:r>
      <w:r>
        <w:rPr>
          <w:rFonts w:ascii="Book Antiqua" w:hAnsi="Book Antiqua" w:cs="Arial"/>
        </w:rPr>
        <w:t xml:space="preserve">married and divorced </w:t>
      </w:r>
      <w:r w:rsidR="00EF7181">
        <w:rPr>
          <w:rFonts w:ascii="Book Antiqua" w:hAnsi="Book Antiqua" w:cs="Arial"/>
        </w:rPr>
        <w:t xml:space="preserve">in the </w:t>
      </w:r>
      <w:smartTag w:uri="urn:schemas-microsoft-com:office:smarttags" w:element="PlaceType">
        <w:r w:rsidR="00EF7181">
          <w:rPr>
            <w:rFonts w:ascii="Book Antiqua" w:hAnsi="Book Antiqua" w:cs="Arial"/>
          </w:rPr>
          <w:t>United Kingdom</w:t>
        </w:r>
      </w:smartTag>
      <w:r w:rsidR="004C6182">
        <w:rPr>
          <w:rFonts w:ascii="Book Antiqua" w:hAnsi="Book Antiqua" w:cs="Arial"/>
        </w:rPr>
        <w:t>. T</w:t>
      </w:r>
      <w:r>
        <w:rPr>
          <w:rFonts w:ascii="Book Antiqua" w:hAnsi="Book Antiqua" w:cs="Arial"/>
        </w:rPr>
        <w:t>here was an adult daughter of the relationship</w:t>
      </w:r>
      <w:r w:rsidR="004C6182">
        <w:rPr>
          <w:rFonts w:ascii="Book Antiqua" w:hAnsi="Book Antiqua" w:cs="Arial"/>
        </w:rPr>
        <w:t xml:space="preserve"> who </w:t>
      </w:r>
      <w:r w:rsidR="00F94C3B">
        <w:rPr>
          <w:rFonts w:ascii="Book Antiqua" w:hAnsi="Book Antiqua" w:cs="Arial"/>
        </w:rPr>
        <w:t xml:space="preserve">is </w:t>
      </w:r>
      <w:r>
        <w:rPr>
          <w:rFonts w:ascii="Book Antiqua" w:hAnsi="Book Antiqua" w:cs="Arial"/>
        </w:rPr>
        <w:t xml:space="preserve">a student who lived with her mother </w:t>
      </w:r>
      <w:r w:rsidR="004C6182">
        <w:rPr>
          <w:rFonts w:ascii="Book Antiqua" w:hAnsi="Book Antiqua" w:cs="Arial"/>
        </w:rPr>
        <w:t xml:space="preserve">in the </w:t>
      </w:r>
      <w:smartTag w:uri="urn:schemas-microsoft-com:office:smarttags" w:element="PlaceType">
        <w:r w:rsidR="004C6182">
          <w:rPr>
            <w:rFonts w:ascii="Book Antiqua" w:hAnsi="Book Antiqua" w:cs="Arial"/>
          </w:rPr>
          <w:t>United Kingdom</w:t>
        </w:r>
      </w:smartTag>
      <w:r w:rsidR="004C6182">
        <w:rPr>
          <w:rFonts w:ascii="Book Antiqua" w:hAnsi="Book Antiqua" w:cs="Arial"/>
        </w:rPr>
        <w:t xml:space="preserve"> </w:t>
      </w:r>
      <w:r>
        <w:rPr>
          <w:rFonts w:ascii="Book Antiqua" w:hAnsi="Book Antiqua" w:cs="Arial"/>
        </w:rPr>
        <w:t xml:space="preserve">but kept in regular contact with her father. </w:t>
      </w:r>
      <w:r w:rsidR="004C6182">
        <w:rPr>
          <w:rFonts w:ascii="Book Antiqua" w:hAnsi="Book Antiqua" w:cs="Arial"/>
        </w:rPr>
        <w:t xml:space="preserve">Mr Akinola </w:t>
      </w:r>
      <w:r>
        <w:rPr>
          <w:rFonts w:ascii="Book Antiqua" w:hAnsi="Book Antiqua" w:cs="Arial"/>
        </w:rPr>
        <w:t>lived in Hounslow and had stable employment as a clerical officer employed by a cargo despatch company.</w:t>
      </w:r>
    </w:p>
    <w:p w:rsidR="00F145C2" w:rsidRDefault="00F145C2" w:rsidP="004F7173">
      <w:pPr>
        <w:tabs>
          <w:tab w:val="num" w:pos="540"/>
          <w:tab w:val="left" w:pos="567"/>
        </w:tabs>
        <w:ind w:left="540" w:hanging="540"/>
        <w:jc w:val="both"/>
        <w:rPr>
          <w:rFonts w:ascii="Book Antiqua" w:hAnsi="Book Antiqua" w:cs="Arial"/>
        </w:rPr>
      </w:pPr>
    </w:p>
    <w:p w:rsidR="00F155FA" w:rsidRPr="00F145C2" w:rsidRDefault="00F145C2" w:rsidP="004F7173">
      <w:pPr>
        <w:tabs>
          <w:tab w:val="num" w:pos="540"/>
          <w:tab w:val="left" w:pos="567"/>
        </w:tabs>
        <w:ind w:left="540" w:hanging="540"/>
        <w:jc w:val="both"/>
        <w:outlineLvl w:val="0"/>
        <w:rPr>
          <w:rFonts w:ascii="Book Antiqua" w:hAnsi="Book Antiqua" w:cs="Arial"/>
          <w:u w:val="single"/>
        </w:rPr>
      </w:pPr>
      <w:r w:rsidRPr="00F145C2">
        <w:rPr>
          <w:rFonts w:ascii="Book Antiqua" w:hAnsi="Book Antiqua" w:cs="Arial"/>
          <w:u w:val="single"/>
        </w:rPr>
        <w:t xml:space="preserve">The </w:t>
      </w:r>
      <w:r w:rsidR="00B75E19">
        <w:rPr>
          <w:rFonts w:ascii="Book Antiqua" w:hAnsi="Book Antiqua" w:cs="Arial"/>
          <w:u w:val="single"/>
        </w:rPr>
        <w:t>UKBA</w:t>
      </w:r>
      <w:r w:rsidR="0081628D">
        <w:rPr>
          <w:rFonts w:ascii="Book Antiqua" w:hAnsi="Book Antiqua" w:cs="Arial"/>
          <w:u w:val="single"/>
        </w:rPr>
        <w:t xml:space="preserve"> D</w:t>
      </w:r>
      <w:r w:rsidRPr="00F145C2">
        <w:rPr>
          <w:rFonts w:ascii="Book Antiqua" w:hAnsi="Book Antiqua" w:cs="Arial"/>
          <w:u w:val="single"/>
        </w:rPr>
        <w:t xml:space="preserve">ecision </w:t>
      </w:r>
    </w:p>
    <w:p w:rsidR="00F145C2" w:rsidRDefault="00F145C2" w:rsidP="004F7173">
      <w:pPr>
        <w:tabs>
          <w:tab w:val="num" w:pos="540"/>
          <w:tab w:val="left" w:pos="567"/>
        </w:tabs>
        <w:ind w:left="540" w:hanging="540"/>
        <w:jc w:val="both"/>
        <w:rPr>
          <w:rFonts w:ascii="Book Antiqua" w:hAnsi="Book Antiqua" w:cs="Arial"/>
        </w:rPr>
      </w:pPr>
    </w:p>
    <w:p w:rsidR="00F145C2" w:rsidRDefault="00B75E19"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The Home Office devoted nine paragraphs of its 61 paragraph letter to the Article 8 claim.</w:t>
      </w:r>
      <w:r w:rsidR="000D7F39">
        <w:rPr>
          <w:rFonts w:ascii="Book Antiqua" w:hAnsi="Book Antiqua" w:cs="Arial"/>
        </w:rPr>
        <w:t xml:space="preserve"> </w:t>
      </w:r>
      <w:r>
        <w:rPr>
          <w:rFonts w:ascii="Book Antiqua" w:hAnsi="Book Antiqua" w:cs="Arial"/>
        </w:rPr>
        <w:t>The first five paragraphs disputed the factual basis of the relationship and concluded that it was not accepted “you have shown you are in a subsisting and long standing relationship with Julius Akinola”. The judge disagreed on the facts and no issue arises with respect to that finding.</w:t>
      </w:r>
    </w:p>
    <w:p w:rsidR="00B75E19" w:rsidRDefault="00B75E19" w:rsidP="004F7173">
      <w:pPr>
        <w:tabs>
          <w:tab w:val="num" w:pos="540"/>
          <w:tab w:val="left" w:pos="567"/>
        </w:tabs>
        <w:ind w:left="540" w:hanging="540"/>
        <w:jc w:val="both"/>
        <w:rPr>
          <w:rFonts w:ascii="Book Antiqua" w:hAnsi="Book Antiqua" w:cs="Arial"/>
        </w:rPr>
      </w:pPr>
    </w:p>
    <w:p w:rsidR="00F145C2" w:rsidRDefault="00B75E19"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The letter nevertheless </w:t>
      </w:r>
      <w:r w:rsidR="008A28D7">
        <w:rPr>
          <w:rFonts w:ascii="Book Antiqua" w:hAnsi="Book Antiqua" w:cs="Arial"/>
        </w:rPr>
        <w:t xml:space="preserve">went to consider </w:t>
      </w:r>
      <w:r>
        <w:rPr>
          <w:rFonts w:ascii="Book Antiqua" w:hAnsi="Book Antiqua" w:cs="Arial"/>
        </w:rPr>
        <w:t>“for completeness” th</w:t>
      </w:r>
      <w:r w:rsidR="008A28D7">
        <w:rPr>
          <w:rFonts w:ascii="Book Antiqua" w:hAnsi="Book Antiqua" w:cs="Arial"/>
        </w:rPr>
        <w:t xml:space="preserve">e assessment of the case under </w:t>
      </w:r>
      <w:r>
        <w:rPr>
          <w:rFonts w:ascii="Book Antiqua" w:hAnsi="Book Antiqua" w:cs="Arial"/>
        </w:rPr>
        <w:t xml:space="preserve">the Appendix </w:t>
      </w:r>
      <w:r w:rsidR="007A5A1B" w:rsidRPr="00336CE3">
        <w:rPr>
          <w:rFonts w:ascii="Book Antiqua" w:hAnsi="Book Antiqua" w:cs="Arial"/>
        </w:rPr>
        <w:t>FM (Family Members)</w:t>
      </w:r>
      <w:r w:rsidR="007A5A1B">
        <w:rPr>
          <w:rFonts w:ascii="Book Antiqua" w:hAnsi="Book Antiqua" w:cs="Arial"/>
        </w:rPr>
        <w:t xml:space="preserve"> to HC 194. </w:t>
      </w:r>
      <w:r w:rsidR="000D7F39">
        <w:rPr>
          <w:rFonts w:ascii="Book Antiqua" w:hAnsi="Book Antiqua" w:cs="Arial"/>
        </w:rPr>
        <w:t xml:space="preserve"> </w:t>
      </w:r>
      <w:r w:rsidR="007A5A1B">
        <w:rPr>
          <w:rFonts w:ascii="Book Antiqua" w:hAnsi="Book Antiqua" w:cs="Arial"/>
        </w:rPr>
        <w:t xml:space="preserve">Two particular </w:t>
      </w:r>
      <w:r w:rsidR="008A28D7">
        <w:rPr>
          <w:rFonts w:ascii="Book Antiqua" w:hAnsi="Book Antiqua" w:cs="Arial"/>
        </w:rPr>
        <w:t>points were taken:-</w:t>
      </w:r>
    </w:p>
    <w:p w:rsidR="00912295" w:rsidRDefault="00912295" w:rsidP="00912295">
      <w:pPr>
        <w:tabs>
          <w:tab w:val="left" w:pos="567"/>
        </w:tabs>
        <w:jc w:val="both"/>
        <w:rPr>
          <w:rFonts w:ascii="Book Antiqua" w:hAnsi="Book Antiqua" w:cs="Arial"/>
        </w:rPr>
      </w:pPr>
    </w:p>
    <w:p w:rsidR="008A28D7" w:rsidRDefault="00681825" w:rsidP="004F7173">
      <w:pPr>
        <w:numPr>
          <w:ilvl w:val="0"/>
          <w:numId w:val="2"/>
        </w:numPr>
        <w:tabs>
          <w:tab w:val="clear" w:pos="2055"/>
          <w:tab w:val="left" w:pos="567"/>
          <w:tab w:val="num" w:pos="1440"/>
        </w:tabs>
        <w:ind w:left="1440"/>
        <w:jc w:val="both"/>
        <w:rPr>
          <w:rFonts w:ascii="Book Antiqua" w:hAnsi="Book Antiqua" w:cs="Arial"/>
        </w:rPr>
      </w:pPr>
      <w:r>
        <w:rPr>
          <w:rFonts w:ascii="Book Antiqua" w:hAnsi="Book Antiqua" w:cs="Arial"/>
        </w:rPr>
        <w:t>T</w:t>
      </w:r>
      <w:r w:rsidR="008A28D7">
        <w:rPr>
          <w:rFonts w:ascii="Book Antiqua" w:hAnsi="Book Antiqua" w:cs="Arial"/>
        </w:rPr>
        <w:t xml:space="preserve">he claimant was not in the </w:t>
      </w:r>
      <w:smartTag w:uri="urn:schemas-microsoft-com:office:smarttags" w:element="PlaceType">
        <w:r w:rsidR="008A28D7">
          <w:rPr>
            <w:rFonts w:ascii="Book Antiqua" w:hAnsi="Book Antiqua" w:cs="Arial"/>
          </w:rPr>
          <w:t>United Kingdom</w:t>
        </w:r>
      </w:smartTag>
      <w:r w:rsidR="008A28D7">
        <w:rPr>
          <w:rFonts w:ascii="Book Antiqua" w:hAnsi="Book Antiqua" w:cs="Arial"/>
        </w:rPr>
        <w:t xml:space="preserve"> as s</w:t>
      </w:r>
      <w:r w:rsidR="000E61D5">
        <w:rPr>
          <w:rFonts w:ascii="Book Antiqua" w:hAnsi="Book Antiqua" w:cs="Arial"/>
        </w:rPr>
        <w:t xml:space="preserve">he had already been refused </w:t>
      </w:r>
      <w:r w:rsidR="000A2074">
        <w:rPr>
          <w:rFonts w:ascii="Book Antiqua" w:hAnsi="Book Antiqua" w:cs="Arial"/>
        </w:rPr>
        <w:t xml:space="preserve">leave to enter </w:t>
      </w:r>
      <w:r w:rsidR="008A28D7">
        <w:rPr>
          <w:rFonts w:ascii="Book Antiqua" w:hAnsi="Book Antiqua" w:cs="Arial"/>
        </w:rPr>
        <w:t xml:space="preserve"> at the t</w:t>
      </w:r>
      <w:r w:rsidR="000E61D5">
        <w:rPr>
          <w:rFonts w:ascii="Book Antiqua" w:hAnsi="Book Antiqua" w:cs="Arial"/>
        </w:rPr>
        <w:t>ime of the decision.</w:t>
      </w:r>
    </w:p>
    <w:p w:rsidR="000E61D5" w:rsidRDefault="000E61D5" w:rsidP="000E61D5">
      <w:pPr>
        <w:tabs>
          <w:tab w:val="left" w:pos="567"/>
        </w:tabs>
        <w:ind w:left="1080"/>
        <w:jc w:val="both"/>
        <w:rPr>
          <w:rFonts w:ascii="Book Antiqua" w:hAnsi="Book Antiqua" w:cs="Arial"/>
        </w:rPr>
      </w:pPr>
    </w:p>
    <w:p w:rsidR="008A28D7" w:rsidRDefault="00681825" w:rsidP="004F7173">
      <w:pPr>
        <w:numPr>
          <w:ilvl w:val="0"/>
          <w:numId w:val="3"/>
        </w:numPr>
        <w:tabs>
          <w:tab w:val="left" w:pos="567"/>
          <w:tab w:val="num" w:pos="1440"/>
        </w:tabs>
        <w:ind w:left="1440" w:hanging="360"/>
        <w:jc w:val="both"/>
        <w:rPr>
          <w:rFonts w:ascii="Book Antiqua" w:hAnsi="Book Antiqua" w:cs="Arial"/>
        </w:rPr>
      </w:pPr>
      <w:r>
        <w:rPr>
          <w:rFonts w:ascii="Book Antiqua" w:hAnsi="Book Antiqua" w:cs="Arial"/>
        </w:rPr>
        <w:t>T</w:t>
      </w:r>
      <w:r w:rsidR="008A28D7">
        <w:rPr>
          <w:rFonts w:ascii="Book Antiqua" w:hAnsi="Book Antiqua" w:cs="Arial"/>
        </w:rPr>
        <w:t xml:space="preserve">here were no insurmountable obstacles to family life continuing outside the </w:t>
      </w:r>
      <w:smartTag w:uri="urn:schemas-microsoft-com:office:smarttags" w:element="PlaceType">
        <w:r w:rsidR="008A28D7">
          <w:rPr>
            <w:rFonts w:ascii="Book Antiqua" w:hAnsi="Book Antiqua" w:cs="Arial"/>
          </w:rPr>
          <w:t>United Kingdom</w:t>
        </w:r>
      </w:smartTag>
      <w:r w:rsidR="008A28D7">
        <w:rPr>
          <w:rFonts w:ascii="Book Antiqua" w:hAnsi="Book Antiqua" w:cs="Arial"/>
        </w:rPr>
        <w:t xml:space="preserve"> namely by returning to </w:t>
      </w:r>
      <w:smartTag w:uri="urn:schemas-microsoft-com:office:smarttags" w:element="PlaceType">
        <w:r w:rsidR="008A28D7">
          <w:rPr>
            <w:rFonts w:ascii="Book Antiqua" w:hAnsi="Book Antiqua" w:cs="Arial"/>
          </w:rPr>
          <w:t>Nigeria</w:t>
        </w:r>
      </w:smartTag>
      <w:r w:rsidR="00336CE3">
        <w:rPr>
          <w:rFonts w:ascii="Book Antiqua" w:hAnsi="Book Antiqua" w:cs="Arial"/>
        </w:rPr>
        <w:t>.</w:t>
      </w:r>
    </w:p>
    <w:p w:rsidR="00336CE3" w:rsidRDefault="00336CE3" w:rsidP="00336CE3">
      <w:pPr>
        <w:tabs>
          <w:tab w:val="left" w:pos="567"/>
        </w:tabs>
        <w:jc w:val="both"/>
        <w:rPr>
          <w:rFonts w:ascii="Book Antiqua" w:hAnsi="Book Antiqua" w:cs="Arial"/>
        </w:rPr>
      </w:pPr>
      <w:r>
        <w:rPr>
          <w:rFonts w:ascii="Book Antiqua" w:hAnsi="Book Antiqua" w:cs="Arial"/>
        </w:rPr>
        <w:t xml:space="preserve">           </w:t>
      </w:r>
    </w:p>
    <w:p w:rsidR="00336CE3" w:rsidRDefault="00336CE3" w:rsidP="00336CE3">
      <w:pPr>
        <w:tabs>
          <w:tab w:val="left" w:pos="567"/>
        </w:tabs>
        <w:jc w:val="both"/>
        <w:rPr>
          <w:rFonts w:ascii="Book Antiqua" w:hAnsi="Book Antiqua" w:cs="Arial"/>
        </w:rPr>
      </w:pPr>
      <w:r>
        <w:rPr>
          <w:rFonts w:ascii="Book Antiqua" w:hAnsi="Book Antiqua" w:cs="Arial"/>
        </w:rPr>
        <w:tab/>
        <w:t>On this second issue the decision letter read</w:t>
      </w:r>
      <w:r w:rsidR="000A2074">
        <w:rPr>
          <w:rFonts w:ascii="Book Antiqua" w:hAnsi="Book Antiqua" w:cs="Arial"/>
        </w:rPr>
        <w:t>s</w:t>
      </w:r>
      <w:r>
        <w:rPr>
          <w:rFonts w:ascii="Book Antiqua" w:hAnsi="Book Antiqua" w:cs="Arial"/>
        </w:rPr>
        <w:t xml:space="preserve"> as follows:</w:t>
      </w:r>
    </w:p>
    <w:p w:rsidR="000A2074" w:rsidRDefault="000A2074" w:rsidP="00336CE3">
      <w:pPr>
        <w:tabs>
          <w:tab w:val="left" w:pos="567"/>
        </w:tabs>
        <w:jc w:val="both"/>
        <w:rPr>
          <w:rFonts w:ascii="Book Antiqua" w:hAnsi="Book Antiqua" w:cs="Arial"/>
        </w:rPr>
      </w:pPr>
    </w:p>
    <w:p w:rsidR="008A28D7" w:rsidRDefault="007A5A1B" w:rsidP="004F7173">
      <w:pPr>
        <w:tabs>
          <w:tab w:val="left" w:pos="567"/>
          <w:tab w:val="num" w:pos="1440"/>
        </w:tabs>
        <w:ind w:left="1440" w:hanging="360"/>
        <w:jc w:val="both"/>
        <w:rPr>
          <w:rFonts w:ascii="Book Antiqua" w:hAnsi="Book Antiqua" w:cs="Arial"/>
        </w:rPr>
      </w:pPr>
      <w:r>
        <w:rPr>
          <w:rFonts w:ascii="Book Antiqua" w:hAnsi="Book Antiqua" w:cs="Arial"/>
        </w:rPr>
        <w:tab/>
      </w:r>
      <w:r w:rsidR="004F7173">
        <w:rPr>
          <w:rFonts w:ascii="Book Antiqua" w:hAnsi="Book Antiqua" w:cs="Arial"/>
        </w:rPr>
        <w:t>“Although (Mr Akinola)</w:t>
      </w:r>
      <w:r w:rsidR="008A28D7">
        <w:rPr>
          <w:rFonts w:ascii="Book Antiqua" w:hAnsi="Book Antiqua" w:cs="Arial"/>
        </w:rPr>
        <w:t xml:space="preserve"> has a daughter in the </w:t>
      </w:r>
      <w:smartTag w:uri="urn:schemas-microsoft-com:office:smarttags" w:element="PlaceType">
        <w:r w:rsidR="008A28D7">
          <w:rPr>
            <w:rFonts w:ascii="Book Antiqua" w:hAnsi="Book Antiqua" w:cs="Arial"/>
          </w:rPr>
          <w:t>UK</w:t>
        </w:r>
      </w:smartTag>
      <w:r w:rsidR="008A28D7">
        <w:rPr>
          <w:rFonts w:ascii="Book Antiqua" w:hAnsi="Book Antiqua" w:cs="Arial"/>
        </w:rPr>
        <w:t xml:space="preserve"> she is an adult who attends university. She does not live with him and only visits occasionally. Juli</w:t>
      </w:r>
      <w:r>
        <w:rPr>
          <w:rFonts w:ascii="Book Antiqua" w:hAnsi="Book Antiqua" w:cs="Arial"/>
        </w:rPr>
        <w:t>u</w:t>
      </w:r>
      <w:r w:rsidR="008A28D7">
        <w:rPr>
          <w:rFonts w:ascii="Book Antiqua" w:hAnsi="Book Antiqua" w:cs="Arial"/>
        </w:rPr>
        <w:t xml:space="preserve">s has family in </w:t>
      </w:r>
      <w:smartTag w:uri="urn:schemas-microsoft-com:office:smarttags" w:element="PlaceType">
        <w:r w:rsidR="008A28D7">
          <w:rPr>
            <w:rFonts w:ascii="Book Antiqua" w:hAnsi="Book Antiqua" w:cs="Arial"/>
          </w:rPr>
          <w:t>Nigeria</w:t>
        </w:r>
      </w:smartTag>
      <w:r w:rsidR="008A28D7">
        <w:rPr>
          <w:rFonts w:ascii="Book Antiqua" w:hAnsi="Book Antiqua" w:cs="Arial"/>
        </w:rPr>
        <w:t xml:space="preserve"> as evidenced by the fa</w:t>
      </w:r>
      <w:r w:rsidR="000D7F39">
        <w:rPr>
          <w:rFonts w:ascii="Book Antiqua" w:hAnsi="Book Antiqua" w:cs="Arial"/>
        </w:rPr>
        <w:t>c</w:t>
      </w:r>
      <w:r w:rsidR="008A28D7">
        <w:rPr>
          <w:rFonts w:ascii="Book Antiqua" w:hAnsi="Book Antiqua" w:cs="Arial"/>
        </w:rPr>
        <w:t xml:space="preserve">t that you married him in his home city of </w:t>
      </w:r>
      <w:smartTag w:uri="urn:schemas-microsoft-com:office:smarttags" w:element="PlaceType">
        <w:r w:rsidR="008A28D7">
          <w:rPr>
            <w:rFonts w:ascii="Book Antiqua" w:hAnsi="Book Antiqua" w:cs="Arial"/>
          </w:rPr>
          <w:t>Ibadan</w:t>
        </w:r>
      </w:smartTag>
      <w:r w:rsidR="008A28D7">
        <w:rPr>
          <w:rFonts w:ascii="Book Antiqua" w:hAnsi="Book Antiqua" w:cs="Arial"/>
        </w:rPr>
        <w:t xml:space="preserve"> in a ceremony attended by both your respective families.</w:t>
      </w:r>
      <w:r w:rsidR="000A2074">
        <w:rPr>
          <w:rFonts w:ascii="Book Antiqua" w:hAnsi="Book Antiqua" w:cs="Arial"/>
        </w:rPr>
        <w:t xml:space="preserve"> </w:t>
      </w:r>
      <w:r w:rsidR="008A28D7">
        <w:rPr>
          <w:rFonts w:ascii="Book Antiqua" w:hAnsi="Book Antiqua" w:cs="Arial"/>
        </w:rPr>
        <w:t>You are also both able to work and Julius is in full</w:t>
      </w:r>
      <w:r w:rsidR="000D7F39">
        <w:rPr>
          <w:rFonts w:ascii="Book Antiqua" w:hAnsi="Book Antiqua" w:cs="Arial"/>
        </w:rPr>
        <w:t>-</w:t>
      </w:r>
      <w:r w:rsidR="008A28D7">
        <w:rPr>
          <w:rFonts w:ascii="Book Antiqua" w:hAnsi="Book Antiqua" w:cs="Arial"/>
        </w:rPr>
        <w:t>time employment</w:t>
      </w:r>
      <w:r>
        <w:rPr>
          <w:rFonts w:ascii="Book Antiqua" w:hAnsi="Book Antiqua" w:cs="Arial"/>
        </w:rPr>
        <w:t xml:space="preserve">. </w:t>
      </w:r>
      <w:r w:rsidR="000D7F39">
        <w:rPr>
          <w:rFonts w:ascii="Book Antiqua" w:hAnsi="Book Antiqua" w:cs="Arial"/>
        </w:rPr>
        <w:t xml:space="preserve"> </w:t>
      </w:r>
      <w:r>
        <w:rPr>
          <w:rFonts w:ascii="Book Antiqua" w:hAnsi="Book Antiqua" w:cs="Arial"/>
        </w:rPr>
        <w:t xml:space="preserve">The documents that your solicitor has submitted show that he is diabetic and takes medication for his medical conditions. </w:t>
      </w:r>
      <w:r w:rsidR="000D7F39">
        <w:rPr>
          <w:rFonts w:ascii="Book Antiqua" w:hAnsi="Book Antiqua" w:cs="Arial"/>
        </w:rPr>
        <w:t xml:space="preserve"> </w:t>
      </w:r>
      <w:r>
        <w:rPr>
          <w:rFonts w:ascii="Book Antiqua" w:hAnsi="Book Antiqua" w:cs="Arial"/>
        </w:rPr>
        <w:t xml:space="preserve">However as has been discussed in your medical consideration, above, it is considered that while the healthcare in Nigeria may not be up to UK standards generally, there is a functioning healthcare system in place and as you both can work and earn money there is no reason why you cannot access private treatment if this is the better option for you. </w:t>
      </w:r>
      <w:r w:rsidR="000D7F39">
        <w:rPr>
          <w:rFonts w:ascii="Book Antiqua" w:hAnsi="Book Antiqua" w:cs="Arial"/>
        </w:rPr>
        <w:t xml:space="preserve"> </w:t>
      </w:r>
      <w:r>
        <w:rPr>
          <w:rFonts w:ascii="Book Antiqua" w:hAnsi="Book Antiqua" w:cs="Arial"/>
        </w:rPr>
        <w:t>Indeed the payslips that your solicitor has submitted indicate that Mr Akinola is ca</w:t>
      </w:r>
      <w:r w:rsidR="000D7F39">
        <w:rPr>
          <w:rFonts w:ascii="Book Antiqua" w:hAnsi="Book Antiqua" w:cs="Arial"/>
        </w:rPr>
        <w:t>p</w:t>
      </w:r>
      <w:r>
        <w:rPr>
          <w:rFonts w:ascii="Book Antiqua" w:hAnsi="Book Antiqua" w:cs="Arial"/>
        </w:rPr>
        <w:t>able of working long hours in a respectable job and earning a reasonable amount of money”</w:t>
      </w:r>
      <w:r w:rsidR="000D7F39">
        <w:rPr>
          <w:rFonts w:ascii="Book Antiqua" w:hAnsi="Book Antiqua" w:cs="Arial"/>
        </w:rPr>
        <w:t>.</w:t>
      </w:r>
    </w:p>
    <w:p w:rsidR="007A5A1B" w:rsidRDefault="007A5A1B" w:rsidP="000D7F39">
      <w:pPr>
        <w:tabs>
          <w:tab w:val="left" w:pos="567"/>
        </w:tabs>
        <w:jc w:val="both"/>
        <w:rPr>
          <w:rFonts w:ascii="Book Antiqua" w:hAnsi="Book Antiqua" w:cs="Arial"/>
        </w:rPr>
      </w:pPr>
    </w:p>
    <w:p w:rsidR="008A28D7" w:rsidRDefault="004C6182"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 Having examined the application fr</w:t>
      </w:r>
      <w:r w:rsidR="00D2334F">
        <w:rPr>
          <w:rFonts w:ascii="Book Antiqua" w:hAnsi="Book Antiqua" w:cs="Arial"/>
        </w:rPr>
        <w:t>om the viewpoint of the new r</w:t>
      </w:r>
      <w:r>
        <w:rPr>
          <w:rFonts w:ascii="Book Antiqua" w:hAnsi="Book Antiqua" w:cs="Arial"/>
        </w:rPr>
        <w:t>ules only</w:t>
      </w:r>
      <w:r w:rsidR="00D2334F">
        <w:rPr>
          <w:rFonts w:ascii="Book Antiqua" w:hAnsi="Book Antiqua" w:cs="Arial"/>
        </w:rPr>
        <w:t>,</w:t>
      </w:r>
      <w:r>
        <w:rPr>
          <w:rFonts w:ascii="Book Antiqua" w:hAnsi="Book Antiqua" w:cs="Arial"/>
        </w:rPr>
        <w:t xml:space="preserve"> t</w:t>
      </w:r>
      <w:r w:rsidR="007A5A1B">
        <w:rPr>
          <w:rFonts w:ascii="Book Antiqua" w:hAnsi="Book Antiqua" w:cs="Arial"/>
        </w:rPr>
        <w:t xml:space="preserve">he </w:t>
      </w:r>
      <w:r w:rsidR="00336CE3">
        <w:rPr>
          <w:rFonts w:ascii="Book Antiqua" w:hAnsi="Book Antiqua" w:cs="Arial"/>
        </w:rPr>
        <w:t xml:space="preserve">Secretary of State’s </w:t>
      </w:r>
      <w:r w:rsidR="007A5A1B">
        <w:rPr>
          <w:rFonts w:ascii="Book Antiqua" w:hAnsi="Book Antiqua" w:cs="Arial"/>
        </w:rPr>
        <w:t>conclusion was:</w:t>
      </w:r>
    </w:p>
    <w:p w:rsidR="000A2074" w:rsidRDefault="000A2074" w:rsidP="000A2074">
      <w:pPr>
        <w:tabs>
          <w:tab w:val="left" w:pos="1080"/>
        </w:tabs>
        <w:jc w:val="both"/>
        <w:rPr>
          <w:rFonts w:ascii="Book Antiqua" w:hAnsi="Book Antiqua" w:cs="Arial"/>
        </w:rPr>
      </w:pPr>
    </w:p>
    <w:p w:rsidR="007A5A1B" w:rsidRDefault="000A2074" w:rsidP="000A2074">
      <w:pPr>
        <w:tabs>
          <w:tab w:val="left" w:pos="1440"/>
        </w:tabs>
        <w:ind w:left="1440"/>
        <w:jc w:val="both"/>
        <w:rPr>
          <w:rFonts w:ascii="Book Antiqua" w:hAnsi="Book Antiqua" w:cs="Arial"/>
        </w:rPr>
      </w:pPr>
      <w:r>
        <w:rPr>
          <w:rFonts w:ascii="Book Antiqua" w:hAnsi="Book Antiqua" w:cs="Arial"/>
        </w:rPr>
        <w:t>“</w:t>
      </w:r>
      <w:r w:rsidR="007A5A1B">
        <w:rPr>
          <w:rFonts w:ascii="Book Antiqua" w:hAnsi="Book Antiqua" w:cs="Arial"/>
        </w:rPr>
        <w:t xml:space="preserve">You do not qualify for limited leave to remain and it is both lawful and </w:t>
      </w:r>
      <w:r>
        <w:rPr>
          <w:rFonts w:ascii="Book Antiqua" w:hAnsi="Book Antiqua" w:cs="Arial"/>
        </w:rPr>
        <w:t xml:space="preserve">    </w:t>
      </w:r>
      <w:r w:rsidR="007A5A1B">
        <w:rPr>
          <w:rFonts w:ascii="Book Antiqua" w:hAnsi="Book Antiqua" w:cs="Arial"/>
        </w:rPr>
        <w:t xml:space="preserve">proportionate to remove you from the </w:t>
      </w:r>
      <w:smartTag w:uri="urn:schemas-microsoft-com:office:smarttags" w:element="PlaceType">
        <w:r w:rsidR="007A5A1B">
          <w:rPr>
            <w:rFonts w:ascii="Book Antiqua" w:hAnsi="Book Antiqua" w:cs="Arial"/>
          </w:rPr>
          <w:t>UK</w:t>
        </w:r>
      </w:smartTag>
      <w:r w:rsidR="007A5A1B">
        <w:rPr>
          <w:rFonts w:ascii="Book Antiqua" w:hAnsi="Book Antiqua" w:cs="Arial"/>
        </w:rPr>
        <w:t>. Your Article 8 rights will not be breached”.</w:t>
      </w:r>
    </w:p>
    <w:p w:rsidR="00C33BFD" w:rsidRDefault="00C33BFD" w:rsidP="00C33BFD">
      <w:pPr>
        <w:tabs>
          <w:tab w:val="left" w:pos="0"/>
        </w:tabs>
        <w:jc w:val="both"/>
        <w:rPr>
          <w:rFonts w:ascii="Book Antiqua" w:hAnsi="Book Antiqua" w:cs="Arial"/>
        </w:rPr>
      </w:pPr>
    </w:p>
    <w:p w:rsidR="00F231E2" w:rsidRPr="00F231E2" w:rsidRDefault="00F231E2" w:rsidP="00521FAD">
      <w:pPr>
        <w:tabs>
          <w:tab w:val="left" w:pos="567"/>
        </w:tabs>
        <w:jc w:val="both"/>
        <w:outlineLvl w:val="0"/>
        <w:rPr>
          <w:rFonts w:ascii="Book Antiqua" w:hAnsi="Book Antiqua" w:cs="Arial"/>
          <w:u w:val="single"/>
        </w:rPr>
      </w:pPr>
      <w:r w:rsidRPr="00F231E2">
        <w:rPr>
          <w:rFonts w:ascii="Book Antiqua" w:hAnsi="Book Antiqua" w:cs="Arial"/>
          <w:u w:val="single"/>
        </w:rPr>
        <w:t xml:space="preserve">The </w:t>
      </w:r>
      <w:r w:rsidR="0081628D">
        <w:rPr>
          <w:rFonts w:ascii="Book Antiqua" w:hAnsi="Book Antiqua" w:cs="Arial"/>
          <w:u w:val="single"/>
        </w:rPr>
        <w:t>J</w:t>
      </w:r>
      <w:r w:rsidRPr="00F231E2">
        <w:rPr>
          <w:rFonts w:ascii="Book Antiqua" w:hAnsi="Book Antiqua" w:cs="Arial"/>
          <w:u w:val="single"/>
        </w:rPr>
        <w:t xml:space="preserve">udge’s </w:t>
      </w:r>
      <w:r w:rsidR="0081628D">
        <w:rPr>
          <w:rFonts w:ascii="Book Antiqua" w:hAnsi="Book Antiqua" w:cs="Arial"/>
          <w:u w:val="single"/>
        </w:rPr>
        <w:t>D</w:t>
      </w:r>
      <w:r w:rsidRPr="00F231E2">
        <w:rPr>
          <w:rFonts w:ascii="Book Antiqua" w:hAnsi="Book Antiqua" w:cs="Arial"/>
          <w:u w:val="single"/>
        </w:rPr>
        <w:t>ecision</w:t>
      </w:r>
    </w:p>
    <w:p w:rsidR="00F145C2" w:rsidRDefault="00F145C2" w:rsidP="00F231E2">
      <w:pPr>
        <w:tabs>
          <w:tab w:val="left" w:pos="567"/>
        </w:tabs>
        <w:ind w:left="567"/>
        <w:jc w:val="both"/>
        <w:rPr>
          <w:rFonts w:ascii="Book Antiqua" w:hAnsi="Book Antiqua" w:cs="Arial"/>
        </w:rPr>
      </w:pPr>
    </w:p>
    <w:p w:rsidR="00F231E2" w:rsidRDefault="004C6182" w:rsidP="004F7173">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After he </w:t>
      </w:r>
      <w:r w:rsidR="00F231E2">
        <w:rPr>
          <w:rFonts w:ascii="Book Antiqua" w:hAnsi="Book Antiqua" w:cs="Arial"/>
        </w:rPr>
        <w:t>reached his conclusions of fact and his decision on the refugee claim, the judge at paragraph 2</w:t>
      </w:r>
      <w:r w:rsidR="000A2074">
        <w:rPr>
          <w:rFonts w:ascii="Book Antiqua" w:hAnsi="Book Antiqua" w:cs="Arial"/>
        </w:rPr>
        <w:t>2</w:t>
      </w:r>
      <w:r w:rsidR="001F40C2">
        <w:rPr>
          <w:rFonts w:ascii="Book Antiqua" w:hAnsi="Book Antiqua" w:cs="Arial"/>
        </w:rPr>
        <w:t xml:space="preserve"> onwards </w:t>
      </w:r>
      <w:r w:rsidR="000A2074">
        <w:rPr>
          <w:rFonts w:ascii="Book Antiqua" w:hAnsi="Book Antiqua" w:cs="Arial"/>
        </w:rPr>
        <w:t>of his determination considered</w:t>
      </w:r>
      <w:r w:rsidR="00D2334F">
        <w:rPr>
          <w:rFonts w:ascii="Book Antiqua" w:hAnsi="Book Antiqua" w:cs="Arial"/>
        </w:rPr>
        <w:t xml:space="preserve"> Article 8. </w:t>
      </w:r>
      <w:r w:rsidR="00F231E2">
        <w:rPr>
          <w:rFonts w:ascii="Book Antiqua" w:hAnsi="Book Antiqua" w:cs="Arial"/>
        </w:rPr>
        <w:t xml:space="preserve">He concluded that the claimant had established family life in the </w:t>
      </w:r>
      <w:smartTag w:uri="urn:schemas-microsoft-com:office:smarttags" w:element="PlaceType">
        <w:r w:rsidR="00F231E2">
          <w:rPr>
            <w:rFonts w:ascii="Book Antiqua" w:hAnsi="Book Antiqua" w:cs="Arial"/>
          </w:rPr>
          <w:t>UK</w:t>
        </w:r>
      </w:smartTag>
      <w:r w:rsidR="00F231E2">
        <w:rPr>
          <w:rFonts w:ascii="Book Antiqua" w:hAnsi="Book Antiqua" w:cs="Arial"/>
        </w:rPr>
        <w:t xml:space="preserve"> by reason of her relationship to Mr Akinola. </w:t>
      </w:r>
      <w:r w:rsidR="0081628D">
        <w:rPr>
          <w:rFonts w:ascii="Book Antiqua" w:hAnsi="Book Antiqua" w:cs="Arial"/>
        </w:rPr>
        <w:t xml:space="preserve"> </w:t>
      </w:r>
      <w:r w:rsidR="00F231E2">
        <w:rPr>
          <w:rFonts w:ascii="Book Antiqua" w:hAnsi="Book Antiqua" w:cs="Arial"/>
        </w:rPr>
        <w:t>He also found that she had a private life here by reason of her previous residence and wish to remain.</w:t>
      </w:r>
    </w:p>
    <w:p w:rsidR="00F231E2" w:rsidRDefault="00F231E2" w:rsidP="004F7173">
      <w:pPr>
        <w:tabs>
          <w:tab w:val="num" w:pos="540"/>
          <w:tab w:val="left" w:pos="567"/>
        </w:tabs>
        <w:ind w:left="540" w:hanging="540"/>
        <w:jc w:val="both"/>
        <w:rPr>
          <w:rFonts w:ascii="Book Antiqua" w:hAnsi="Book Antiqua" w:cs="Arial"/>
        </w:rPr>
      </w:pPr>
    </w:p>
    <w:p w:rsidR="0081628D" w:rsidRDefault="00F231E2" w:rsidP="00C33BFD">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 xml:space="preserve">He then went on to consider the five questions posed by Lord Bingham in </w:t>
      </w:r>
      <w:r w:rsidRPr="00F231E2">
        <w:rPr>
          <w:rFonts w:ascii="Book Antiqua" w:hAnsi="Book Antiqua" w:cs="Arial"/>
          <w:u w:val="single"/>
        </w:rPr>
        <w:t>Razgar</w:t>
      </w:r>
      <w:r>
        <w:rPr>
          <w:rFonts w:ascii="Book Antiqua" w:hAnsi="Book Antiqua" w:cs="Arial"/>
        </w:rPr>
        <w:t xml:space="preserve"> [2004] INLR 349 HL and concluded:</w:t>
      </w:r>
    </w:p>
    <w:p w:rsidR="00C33BFD" w:rsidRDefault="00C33BFD" w:rsidP="00C33BFD">
      <w:pPr>
        <w:tabs>
          <w:tab w:val="left" w:pos="567"/>
        </w:tabs>
        <w:jc w:val="both"/>
        <w:rPr>
          <w:rFonts w:ascii="Book Antiqua" w:hAnsi="Book Antiqua" w:cs="Arial"/>
        </w:rPr>
      </w:pPr>
    </w:p>
    <w:p w:rsidR="00C33BFD" w:rsidRDefault="00C33BFD" w:rsidP="00C33BFD">
      <w:pPr>
        <w:numPr>
          <w:ilvl w:val="1"/>
          <w:numId w:val="1"/>
        </w:numPr>
        <w:tabs>
          <w:tab w:val="clear" w:pos="1647"/>
          <w:tab w:val="left" w:pos="567"/>
          <w:tab w:val="num" w:pos="1440"/>
        </w:tabs>
        <w:ind w:left="1440"/>
        <w:jc w:val="both"/>
        <w:rPr>
          <w:rFonts w:ascii="Book Antiqua" w:hAnsi="Book Antiqua" w:cs="Arial"/>
        </w:rPr>
      </w:pPr>
      <w:r>
        <w:rPr>
          <w:rFonts w:ascii="Book Antiqua" w:hAnsi="Book Antiqua" w:cs="Arial"/>
        </w:rPr>
        <w:t>The claimant’s removal would interfere with the family life enjoyed by her and Mr Akinola.</w:t>
      </w:r>
    </w:p>
    <w:p w:rsidR="00D2334F" w:rsidRDefault="00D2334F" w:rsidP="00D2334F">
      <w:pPr>
        <w:tabs>
          <w:tab w:val="left" w:pos="567"/>
        </w:tabs>
        <w:ind w:left="1080"/>
        <w:jc w:val="both"/>
        <w:rPr>
          <w:rFonts w:ascii="Book Antiqua" w:hAnsi="Book Antiqua" w:cs="Arial"/>
        </w:rPr>
      </w:pPr>
    </w:p>
    <w:p w:rsidR="00C33BFD" w:rsidRDefault="00C33BFD" w:rsidP="00C33BFD">
      <w:pPr>
        <w:numPr>
          <w:ilvl w:val="1"/>
          <w:numId w:val="1"/>
        </w:numPr>
        <w:tabs>
          <w:tab w:val="clear" w:pos="1647"/>
          <w:tab w:val="left" w:pos="567"/>
          <w:tab w:val="num" w:pos="1440"/>
        </w:tabs>
        <w:ind w:left="1440"/>
        <w:jc w:val="both"/>
        <w:rPr>
          <w:rFonts w:ascii="Book Antiqua" w:hAnsi="Book Antiqua" w:cs="Arial"/>
        </w:rPr>
      </w:pPr>
      <w:r>
        <w:rPr>
          <w:rFonts w:ascii="Book Antiqua" w:hAnsi="Book Antiqua" w:cs="Arial"/>
        </w:rPr>
        <w:t>The interference was serious enough to engage Article 8</w:t>
      </w:r>
      <w:r w:rsidR="00681825">
        <w:rPr>
          <w:rFonts w:ascii="Book Antiqua" w:hAnsi="Book Antiqua" w:cs="Arial"/>
        </w:rPr>
        <w:t>.</w:t>
      </w:r>
    </w:p>
    <w:p w:rsidR="00D2334F" w:rsidRDefault="00D2334F" w:rsidP="00D2334F">
      <w:pPr>
        <w:tabs>
          <w:tab w:val="left" w:pos="567"/>
        </w:tabs>
        <w:jc w:val="both"/>
        <w:rPr>
          <w:rFonts w:ascii="Book Antiqua" w:hAnsi="Book Antiqua" w:cs="Arial"/>
        </w:rPr>
      </w:pPr>
    </w:p>
    <w:p w:rsidR="00C33BFD" w:rsidRDefault="00C33BFD" w:rsidP="00C33BFD">
      <w:pPr>
        <w:numPr>
          <w:ilvl w:val="1"/>
          <w:numId w:val="1"/>
        </w:numPr>
        <w:tabs>
          <w:tab w:val="clear" w:pos="1647"/>
          <w:tab w:val="left" w:pos="567"/>
          <w:tab w:val="num" w:pos="1440"/>
        </w:tabs>
        <w:ind w:left="1440"/>
        <w:jc w:val="both"/>
        <w:rPr>
          <w:rFonts w:ascii="Book Antiqua" w:hAnsi="Book Antiqua" w:cs="Arial"/>
        </w:rPr>
      </w:pPr>
      <w:r>
        <w:rPr>
          <w:rFonts w:ascii="Book Antiqua" w:hAnsi="Book Antiqua" w:cs="Arial"/>
        </w:rPr>
        <w:t>The interference was in accordance with the law and for the legitimate aim of the prevention of disorder or crime.</w:t>
      </w:r>
    </w:p>
    <w:p w:rsidR="00D2334F" w:rsidRDefault="00D2334F" w:rsidP="00D2334F">
      <w:pPr>
        <w:tabs>
          <w:tab w:val="left" w:pos="567"/>
        </w:tabs>
        <w:jc w:val="both"/>
        <w:rPr>
          <w:rFonts w:ascii="Book Antiqua" w:hAnsi="Book Antiqua" w:cs="Arial"/>
        </w:rPr>
      </w:pPr>
    </w:p>
    <w:p w:rsidR="00C33BFD" w:rsidRDefault="00C33BFD" w:rsidP="00C33BFD">
      <w:pPr>
        <w:numPr>
          <w:ilvl w:val="1"/>
          <w:numId w:val="1"/>
        </w:numPr>
        <w:tabs>
          <w:tab w:val="clear" w:pos="1647"/>
          <w:tab w:val="left" w:pos="567"/>
          <w:tab w:val="num" w:pos="1440"/>
        </w:tabs>
        <w:ind w:left="1440"/>
        <w:jc w:val="both"/>
        <w:rPr>
          <w:rFonts w:ascii="Book Antiqua" w:hAnsi="Book Antiqua" w:cs="Arial"/>
        </w:rPr>
      </w:pPr>
      <w:r>
        <w:rPr>
          <w:rFonts w:ascii="Book Antiqua" w:hAnsi="Book Antiqua" w:cs="Arial"/>
        </w:rPr>
        <w:t>The central question in the appeal was whether the interference was proportionate and a fair balance between the interests of the community and the claimant and her husband.</w:t>
      </w:r>
    </w:p>
    <w:p w:rsidR="00C33BFD" w:rsidRDefault="00C33BFD" w:rsidP="00C33BFD">
      <w:pPr>
        <w:tabs>
          <w:tab w:val="left" w:pos="567"/>
        </w:tabs>
        <w:jc w:val="both"/>
        <w:rPr>
          <w:rFonts w:ascii="Book Antiqua" w:hAnsi="Book Antiqua" w:cs="Arial"/>
        </w:rPr>
      </w:pPr>
    </w:p>
    <w:p w:rsidR="00C33BFD" w:rsidRDefault="00C33BFD" w:rsidP="00C33BFD">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The judge continued his analysis as follows</w:t>
      </w:r>
    </w:p>
    <w:p w:rsidR="00950EBA" w:rsidRPr="00915E3A" w:rsidRDefault="00A557C2" w:rsidP="00950EBA">
      <w:pPr>
        <w:tabs>
          <w:tab w:val="left" w:pos="2520"/>
        </w:tabs>
        <w:spacing w:before="300"/>
        <w:ind w:left="1080"/>
        <w:jc w:val="both"/>
        <w:rPr>
          <w:rFonts w:ascii="Book Antiqua" w:hAnsi="Book Antiqua" w:cs="Arial"/>
          <w:b/>
          <w:u w:val="single"/>
        </w:rPr>
      </w:pPr>
      <w:r>
        <w:rPr>
          <w:rFonts w:ascii="Book Antiqua" w:hAnsi="Book Antiqua" w:cs="Arial"/>
        </w:rPr>
        <w:t xml:space="preserve">“26. I acknowledge </w:t>
      </w:r>
      <w:r w:rsidR="00950EBA">
        <w:rPr>
          <w:rFonts w:ascii="Book Antiqua" w:hAnsi="Book Antiqua" w:cs="Arial"/>
        </w:rPr>
        <w:t xml:space="preserve">the determination of the respondent to achieve the legitimate aims of the prevention of disorder or crime and the maintenance of an effective immigration policy.  Such are laudable aims which she undertakes by means of her immigration and criminal policies and she does so in the interests of the wider </w:t>
      </w:r>
      <w:smartTag w:uri="urn:schemas-microsoft-com:office:smarttags" w:element="PlaceType">
        <w:r w:rsidR="00950EBA">
          <w:rPr>
            <w:rFonts w:ascii="Book Antiqua" w:hAnsi="Book Antiqua" w:cs="Arial"/>
          </w:rPr>
          <w:t>United Kingdom</w:t>
        </w:r>
      </w:smartTag>
      <w:r w:rsidR="00950EBA">
        <w:rPr>
          <w:rFonts w:ascii="Book Antiqua" w:hAnsi="Book Antiqua" w:cs="Arial"/>
        </w:rPr>
        <w:t xml:space="preserve"> community.  I acknowledge that the legitimate aims thus ex</w:t>
      </w:r>
      <w:r w:rsidR="001F40C2">
        <w:rPr>
          <w:rFonts w:ascii="Book Antiqua" w:hAnsi="Book Antiqua" w:cs="Arial"/>
        </w:rPr>
        <w:t xml:space="preserve">pressed are rarely overridden. </w:t>
      </w:r>
      <w:r w:rsidR="00950EBA">
        <w:rPr>
          <w:rFonts w:ascii="Book Antiqua" w:hAnsi="Book Antiqua" w:cs="Arial"/>
        </w:rPr>
        <w:t>I particularly acknowledge the ap</w:t>
      </w:r>
      <w:r w:rsidR="001F40C2">
        <w:rPr>
          <w:rFonts w:ascii="Book Antiqua" w:hAnsi="Book Antiqua" w:cs="Arial"/>
        </w:rPr>
        <w:t xml:space="preserve">pellant’s immigration history. </w:t>
      </w:r>
      <w:r w:rsidR="00950EBA">
        <w:rPr>
          <w:rFonts w:ascii="Book Antiqua" w:hAnsi="Book Antiqua" w:cs="Arial"/>
        </w:rPr>
        <w:t>I</w:t>
      </w:r>
      <w:r w:rsidR="001F40C2">
        <w:rPr>
          <w:rFonts w:ascii="Book Antiqua" w:hAnsi="Book Antiqua" w:cs="Arial"/>
        </w:rPr>
        <w:t xml:space="preserve">n part, it was a poor history. </w:t>
      </w:r>
      <w:r w:rsidR="00950EBA">
        <w:rPr>
          <w:rFonts w:ascii="Book Antiqua" w:hAnsi="Book Antiqua" w:cs="Arial"/>
        </w:rPr>
        <w:t>The facts were common betw</w:t>
      </w:r>
      <w:r w:rsidR="001F40C2">
        <w:rPr>
          <w:rFonts w:ascii="Book Antiqua" w:hAnsi="Book Antiqua" w:cs="Arial"/>
        </w:rPr>
        <w:t xml:space="preserve">een the parties to the appeal. </w:t>
      </w:r>
      <w:r w:rsidR="00950EBA">
        <w:rPr>
          <w:rFonts w:ascii="Book Antiqua" w:hAnsi="Book Antiqua" w:cs="Arial"/>
        </w:rPr>
        <w:t xml:space="preserve">The appellant had overstayed during a previous period of residence in the </w:t>
      </w:r>
      <w:smartTag w:uri="urn:schemas-microsoft-com:office:smarttags" w:element="PlaceType">
        <w:r w:rsidR="00950EBA">
          <w:rPr>
            <w:rFonts w:ascii="Book Antiqua" w:hAnsi="Book Antiqua" w:cs="Arial"/>
          </w:rPr>
          <w:t>United Kingdom</w:t>
        </w:r>
      </w:smartTag>
      <w:r w:rsidR="001F40C2">
        <w:rPr>
          <w:rFonts w:ascii="Book Antiqua" w:hAnsi="Book Antiqua" w:cs="Arial"/>
        </w:rPr>
        <w:t xml:space="preserve">. </w:t>
      </w:r>
      <w:r w:rsidR="00950EBA">
        <w:rPr>
          <w:rFonts w:ascii="Book Antiqua" w:hAnsi="Book Antiqua" w:cs="Arial"/>
        </w:rPr>
        <w:t xml:space="preserve">I also acknowledge the appellant’s criminal offence.  It was a most serious criminal offence which the magistrates’ court marked by handing down a sentence </w:t>
      </w:r>
      <w:r w:rsidR="001F40C2">
        <w:rPr>
          <w:rFonts w:ascii="Book Antiqua" w:hAnsi="Book Antiqua" w:cs="Arial"/>
        </w:rPr>
        <w:t xml:space="preserve">of twelve weeks’ imprisonment. </w:t>
      </w:r>
      <w:r w:rsidR="00950EBA">
        <w:rPr>
          <w:rFonts w:ascii="Book Antiqua" w:hAnsi="Book Antiqua" w:cs="Arial"/>
        </w:rPr>
        <w:t xml:space="preserve">I also acknowledge the appellant’s conduct in travelling to the </w:t>
      </w:r>
      <w:smartTag w:uri="urn:schemas-microsoft-com:office:smarttags" w:element="PlaceType">
        <w:r w:rsidR="00950EBA">
          <w:rPr>
            <w:rFonts w:ascii="Book Antiqua" w:hAnsi="Book Antiqua" w:cs="Arial"/>
          </w:rPr>
          <w:t>United Kingdom</w:t>
        </w:r>
      </w:smartTag>
      <w:r w:rsidR="00950EBA">
        <w:rPr>
          <w:rFonts w:ascii="Book Antiqua" w:hAnsi="Book Antiqua" w:cs="Arial"/>
        </w:rPr>
        <w:t xml:space="preserve"> in possession of false documents.  Such was lamentable conduct on her part.</w:t>
      </w:r>
    </w:p>
    <w:p w:rsidR="00950EBA" w:rsidRPr="00005259" w:rsidRDefault="00A557C2" w:rsidP="00950EBA">
      <w:pPr>
        <w:tabs>
          <w:tab w:val="left" w:pos="2520"/>
        </w:tabs>
        <w:spacing w:before="300"/>
        <w:ind w:left="1080"/>
        <w:jc w:val="both"/>
        <w:rPr>
          <w:rFonts w:ascii="Book Antiqua" w:hAnsi="Book Antiqua" w:cs="Arial"/>
        </w:rPr>
      </w:pPr>
      <w:r>
        <w:rPr>
          <w:rFonts w:ascii="Book Antiqua" w:hAnsi="Book Antiqua" w:cs="Arial"/>
        </w:rPr>
        <w:t xml:space="preserve"> </w:t>
      </w:r>
      <w:r w:rsidR="00950EBA">
        <w:rPr>
          <w:rFonts w:ascii="Book Antiqua" w:hAnsi="Book Antiqua" w:cs="Arial"/>
        </w:rPr>
        <w:t>27. I remind myself that I should strike a fair balance between the rights of the appellant and the interests of the communit</w:t>
      </w:r>
      <w:r w:rsidR="00EF7181">
        <w:rPr>
          <w:rFonts w:ascii="Book Antiqua" w:hAnsi="Book Antiqua" w:cs="Arial"/>
        </w:rPr>
        <w:t>y.  Certainly, ‘o</w:t>
      </w:r>
      <w:r w:rsidR="00950EBA">
        <w:rPr>
          <w:rFonts w:ascii="Book Antiqua" w:hAnsi="Book Antiqua" w:cs="Arial"/>
        </w:rPr>
        <w:t>f course all will turn on t</w:t>
      </w:r>
      <w:r w:rsidR="00EF7181">
        <w:rPr>
          <w:rFonts w:ascii="Book Antiqua" w:hAnsi="Book Antiqua" w:cs="Arial"/>
        </w:rPr>
        <w:t>he facts of the individual case’</w:t>
      </w:r>
      <w:r w:rsidR="00950EBA">
        <w:rPr>
          <w:rFonts w:ascii="Book Antiqua" w:hAnsi="Book Antiqua" w:cs="Arial"/>
        </w:rPr>
        <w:t xml:space="preserve"> (per Owen J in </w:t>
      </w:r>
      <w:r w:rsidR="00950EBA" w:rsidRPr="00950EBA">
        <w:rPr>
          <w:rFonts w:ascii="Book Antiqua" w:hAnsi="Book Antiqua" w:cs="Arial"/>
          <w:u w:val="single"/>
        </w:rPr>
        <w:t>Mthokozisi v Secretary of State for the Home Department</w:t>
      </w:r>
      <w:r w:rsidR="00950EBA" w:rsidRPr="00385AB3">
        <w:rPr>
          <w:rFonts w:ascii="Book Antiqua" w:hAnsi="Book Antiqua" w:cs="Arial"/>
        </w:rPr>
        <w:t xml:space="preserve"> [2004] EWCH 2964 (Admin)</w:t>
      </w:r>
      <w:r w:rsidR="00EF7181">
        <w:rPr>
          <w:rFonts w:ascii="Book Antiqua" w:hAnsi="Book Antiqua" w:cs="Arial"/>
        </w:rPr>
        <w:t xml:space="preserve"> at paragraph 28</w:t>
      </w:r>
      <w:r w:rsidR="004C6182">
        <w:rPr>
          <w:rFonts w:ascii="Book Antiqua" w:hAnsi="Book Antiqua" w:cs="Arial"/>
        </w:rPr>
        <w:t>, a</w:t>
      </w:r>
      <w:r w:rsidR="00950EBA">
        <w:rPr>
          <w:rFonts w:ascii="Book Antiqua" w:hAnsi="Book Antiqua" w:cs="Arial"/>
        </w:rPr>
        <w:t xml:space="preserve"> passage from authority cited by Lord Bingham at paragraph 9 of his judgment in </w:t>
      </w:r>
      <w:r w:rsidR="00950EBA" w:rsidRPr="00950EBA">
        <w:rPr>
          <w:rFonts w:ascii="Book Antiqua" w:hAnsi="Book Antiqua" w:cs="Arial"/>
          <w:u w:val="single"/>
        </w:rPr>
        <w:t>EB (Kosovo) v Secretary of State for the Home Department</w:t>
      </w:r>
      <w:r w:rsidR="00950EBA" w:rsidRPr="00385AB3">
        <w:rPr>
          <w:rFonts w:ascii="Book Antiqua" w:hAnsi="Book Antiqua" w:cs="Arial"/>
        </w:rPr>
        <w:t xml:space="preserve"> [2008] UKHL 41</w:t>
      </w:r>
      <w:r w:rsidR="00950EBA" w:rsidRPr="00950EBA">
        <w:rPr>
          <w:rFonts w:ascii="Book Antiqua" w:hAnsi="Book Antiqua" w:cs="Arial"/>
        </w:rPr>
        <w:t>).</w:t>
      </w:r>
      <w:r w:rsidR="00950EBA">
        <w:rPr>
          <w:rFonts w:ascii="Book Antiqua" w:hAnsi="Book Antiqua" w:cs="Arial"/>
        </w:rPr>
        <w:t xml:space="preserve">  I have also borne in mind that guidance which Lord Bingham offered at paragraph 12 of his judgment in </w:t>
      </w:r>
      <w:r w:rsidR="00950EBA" w:rsidRPr="001E6082">
        <w:rPr>
          <w:rFonts w:ascii="Book Antiqua" w:hAnsi="Book Antiqua" w:cs="Arial"/>
          <w:u w:val="single"/>
        </w:rPr>
        <w:t>EB (Kosovo)</w:t>
      </w:r>
      <w:r w:rsidR="00950EBA">
        <w:rPr>
          <w:rFonts w:ascii="Book Antiqua" w:hAnsi="Book Antiqua" w:cs="Arial"/>
        </w:rPr>
        <w:t>.  He stated:</w:t>
      </w:r>
    </w:p>
    <w:p w:rsidR="00950EBA" w:rsidRDefault="00EF7181" w:rsidP="00950EBA">
      <w:pPr>
        <w:tabs>
          <w:tab w:val="left" w:pos="2520"/>
        </w:tabs>
        <w:spacing w:before="300"/>
        <w:ind w:left="1980"/>
        <w:jc w:val="both"/>
        <w:rPr>
          <w:rFonts w:ascii="Book Antiqua" w:hAnsi="Book Antiqua" w:cs="Arial"/>
        </w:rPr>
      </w:pPr>
      <w:bookmarkStart w:id="1" w:name="para12"/>
      <w:r>
        <w:rPr>
          <w:rFonts w:ascii="Book Antiqua" w:hAnsi="Book Antiqua" w:cs="Arial"/>
        </w:rPr>
        <w:t>‘</w:t>
      </w:r>
      <w:r w:rsidR="00950EBA" w:rsidRPr="005E26D3">
        <w:rPr>
          <w:rFonts w:ascii="Book Antiqua" w:hAnsi="Book Antiqua" w:cs="Arial"/>
        </w:rPr>
        <w:t xml:space="preserve">Thus the appellate immigration authority must make its own judgment and that judgment will be strongly influenced by the particular facts and circumstances of the particular case. </w:t>
      </w:r>
      <w:r w:rsidR="00950EBA">
        <w:rPr>
          <w:rFonts w:ascii="Book Antiqua" w:hAnsi="Book Antiqua" w:cs="Arial"/>
        </w:rPr>
        <w:t xml:space="preserve"> </w:t>
      </w:r>
      <w:r w:rsidR="00950EBA" w:rsidRPr="005E26D3">
        <w:rPr>
          <w:rFonts w:ascii="Book Antiqua" w:hAnsi="Book Antiqua" w:cs="Arial"/>
        </w:rPr>
        <w:t xml:space="preserve">The authority will, of course, take note of factors which have, or have not, weighed with the </w:t>
      </w:r>
      <w:smartTag w:uri="urn:schemas-microsoft-com:office:smarttags" w:element="PlaceType">
        <w:r w:rsidR="00950EBA" w:rsidRPr="005E26D3">
          <w:rPr>
            <w:rFonts w:ascii="Book Antiqua" w:hAnsi="Book Antiqua" w:cs="Arial"/>
          </w:rPr>
          <w:t>Strasbourg</w:t>
        </w:r>
      </w:smartTag>
      <w:r w:rsidR="00950EBA" w:rsidRPr="005E26D3">
        <w:rPr>
          <w:rFonts w:ascii="Book Antiqua" w:hAnsi="Book Antiqua" w:cs="Arial"/>
        </w:rPr>
        <w:t xml:space="preserve"> court. </w:t>
      </w:r>
      <w:r w:rsidR="00950EBA">
        <w:rPr>
          <w:rFonts w:ascii="Book Antiqua" w:hAnsi="Book Antiqua" w:cs="Arial"/>
        </w:rPr>
        <w:t xml:space="preserve"> </w:t>
      </w:r>
      <w:r w:rsidR="00950EBA" w:rsidRPr="005E26D3">
        <w:rPr>
          <w:rFonts w:ascii="Book Antiqua" w:hAnsi="Book Antiqua" w:cs="Arial"/>
        </w:rPr>
        <w:t>It will, for example, recognise that it will rarely be proportionate to uphold an order for removal of a spouse if there is a close and genuine bond with the other spouse and that spouse cannot reasonably be expected to follow the removed spouse to the country of removal</w:t>
      </w:r>
      <w:bookmarkEnd w:id="1"/>
      <w:r>
        <w:rPr>
          <w:rFonts w:ascii="Book Antiqua" w:hAnsi="Book Antiqua" w:cs="Arial"/>
        </w:rPr>
        <w:t>…’</w:t>
      </w:r>
    </w:p>
    <w:p w:rsidR="00950EBA" w:rsidRDefault="00950EBA" w:rsidP="00950EBA">
      <w:pPr>
        <w:tabs>
          <w:tab w:val="left" w:pos="2520"/>
        </w:tabs>
        <w:ind w:left="1979"/>
        <w:jc w:val="both"/>
        <w:rPr>
          <w:rFonts w:ascii="Book Antiqua" w:hAnsi="Book Antiqua" w:cs="Arial"/>
        </w:rPr>
      </w:pPr>
    </w:p>
    <w:p w:rsidR="00950EBA" w:rsidRDefault="00950EBA" w:rsidP="001E6082">
      <w:pPr>
        <w:numPr>
          <w:ilvl w:val="0"/>
          <w:numId w:val="8"/>
        </w:numPr>
        <w:tabs>
          <w:tab w:val="clear" w:pos="1500"/>
          <w:tab w:val="left" w:pos="567"/>
          <w:tab w:val="num" w:pos="1080"/>
        </w:tabs>
        <w:ind w:left="1080" w:firstLine="60"/>
        <w:jc w:val="both"/>
        <w:rPr>
          <w:rFonts w:ascii="Book Antiqua" w:hAnsi="Book Antiqua" w:cs="Arial"/>
        </w:rPr>
      </w:pPr>
      <w:r>
        <w:rPr>
          <w:rFonts w:ascii="Book Antiqua" w:hAnsi="Book Antiqua" w:cs="Arial"/>
        </w:rPr>
        <w:t xml:space="preserve">Two factors have led me to strike the balance, the essence of an assessment of the proportionality of a decision such as the decision under appeal, in favour of the appellant.  </w:t>
      </w:r>
      <w:r w:rsidRPr="00CA093C">
        <w:rPr>
          <w:rFonts w:ascii="Book Antiqua" w:hAnsi="Book Antiqua" w:cs="Arial"/>
        </w:rPr>
        <w:t xml:space="preserve">First, </w:t>
      </w:r>
      <w:r>
        <w:rPr>
          <w:rFonts w:ascii="Book Antiqua" w:hAnsi="Book Antiqua" w:cs="Arial"/>
        </w:rPr>
        <w:t xml:space="preserve">drawing on those exclusively favourable findings of fact to which I have arrived in respect of the appellant’s </w:t>
      </w:r>
      <w:r w:rsidR="00681825">
        <w:rPr>
          <w:rFonts w:ascii="Book Antiqua" w:hAnsi="Book Antiqua" w:cs="Arial"/>
        </w:rPr>
        <w:t>….</w:t>
      </w:r>
      <w:r>
        <w:rPr>
          <w:rFonts w:ascii="Book Antiqua" w:hAnsi="Book Antiqua" w:cs="Arial"/>
        </w:rPr>
        <w:t xml:space="preserve"> contentions, I find that a particularly strong family life exists betwe</w:t>
      </w:r>
      <w:r w:rsidR="001E6082">
        <w:rPr>
          <w:rFonts w:ascii="Book Antiqua" w:hAnsi="Book Antiqua" w:cs="Arial"/>
        </w:rPr>
        <w:t>en the appellant and Mr Akinola”</w:t>
      </w:r>
    </w:p>
    <w:p w:rsidR="007F2B64" w:rsidRDefault="007F2B64" w:rsidP="007F2B64">
      <w:pPr>
        <w:tabs>
          <w:tab w:val="num" w:pos="540"/>
          <w:tab w:val="left" w:pos="567"/>
        </w:tabs>
        <w:ind w:left="540" w:hanging="540"/>
        <w:jc w:val="both"/>
        <w:rPr>
          <w:rFonts w:ascii="Book Antiqua" w:hAnsi="Book Antiqua" w:cs="Arial"/>
        </w:rPr>
      </w:pPr>
      <w:r>
        <w:rPr>
          <w:rFonts w:ascii="Book Antiqua" w:hAnsi="Book Antiqua" w:cs="Arial"/>
        </w:rPr>
        <w:tab/>
      </w:r>
    </w:p>
    <w:p w:rsidR="00950EBA" w:rsidRDefault="007F2B64" w:rsidP="007F2B64">
      <w:pPr>
        <w:tabs>
          <w:tab w:val="num" w:pos="540"/>
          <w:tab w:val="left" w:pos="567"/>
        </w:tabs>
        <w:ind w:left="540" w:hanging="540"/>
        <w:jc w:val="both"/>
        <w:rPr>
          <w:rFonts w:ascii="Book Antiqua" w:hAnsi="Book Antiqua" w:cs="Arial"/>
        </w:rPr>
      </w:pPr>
      <w:r>
        <w:rPr>
          <w:rFonts w:ascii="Book Antiqua" w:hAnsi="Book Antiqua" w:cs="Arial"/>
        </w:rPr>
        <w:tab/>
      </w:r>
      <w:r w:rsidR="00950EBA">
        <w:rPr>
          <w:rFonts w:ascii="Book Antiqua" w:hAnsi="Book Antiqua" w:cs="Arial"/>
        </w:rPr>
        <w:t>He reviewed the evidence supporting this conclusion and then went on to his second fa</w:t>
      </w:r>
      <w:r>
        <w:rPr>
          <w:rFonts w:ascii="Book Antiqua" w:hAnsi="Book Antiqua" w:cs="Arial"/>
        </w:rPr>
        <w:t>ctor in favour.</w:t>
      </w:r>
    </w:p>
    <w:p w:rsidR="00950EBA" w:rsidRDefault="00950EBA" w:rsidP="009B2F89">
      <w:pPr>
        <w:tabs>
          <w:tab w:val="left" w:pos="2520"/>
        </w:tabs>
        <w:spacing w:before="300"/>
        <w:ind w:left="1080"/>
        <w:jc w:val="both"/>
        <w:rPr>
          <w:rFonts w:ascii="Book Antiqua" w:hAnsi="Book Antiqua" w:cs="Arial"/>
        </w:rPr>
      </w:pPr>
      <w:r>
        <w:rPr>
          <w:rFonts w:ascii="Book Antiqua" w:hAnsi="Book Antiqua" w:cs="Arial"/>
        </w:rPr>
        <w:t xml:space="preserve">29. </w:t>
      </w:r>
      <w:r w:rsidRPr="00CA093C">
        <w:rPr>
          <w:rFonts w:ascii="Book Antiqua" w:hAnsi="Book Antiqua" w:cs="Arial"/>
        </w:rPr>
        <w:t xml:space="preserve">Second, </w:t>
      </w:r>
      <w:r>
        <w:rPr>
          <w:rFonts w:ascii="Book Antiqua" w:hAnsi="Book Antiqua" w:cs="Arial"/>
        </w:rPr>
        <w:t xml:space="preserve">I find that it would not be reasonable to expect Mr Akinola to settle in </w:t>
      </w:r>
      <w:smartTag w:uri="urn:schemas-microsoft-com:office:smarttags" w:element="PlaceType">
        <w:r>
          <w:rPr>
            <w:rFonts w:ascii="Book Antiqua" w:hAnsi="Book Antiqua" w:cs="Arial"/>
          </w:rPr>
          <w:t>Nigeria</w:t>
        </w:r>
      </w:smartTag>
      <w:r>
        <w:rPr>
          <w:rFonts w:ascii="Book Antiqua" w:hAnsi="Book Antiqua" w:cs="Arial"/>
        </w:rPr>
        <w:t xml:space="preserve"> in order to continue family life with the appellant.  Mr Akinola is a British citizen.  He has resided in the </w:t>
      </w:r>
      <w:smartTag w:uri="urn:schemas-microsoft-com:office:smarttags" w:element="PlaceType">
        <w:r>
          <w:rPr>
            <w:rFonts w:ascii="Book Antiqua" w:hAnsi="Book Antiqua" w:cs="Arial"/>
          </w:rPr>
          <w:t>United Kingdom</w:t>
        </w:r>
      </w:smartTag>
      <w:r>
        <w:rPr>
          <w:rFonts w:ascii="Book Antiqua" w:hAnsi="Book Antiqua" w:cs="Arial"/>
        </w:rPr>
        <w:t xml:space="preserve"> for 23 years.  He has a medical condition which at present is being satisfactorily treated by the healthcare services of the </w:t>
      </w:r>
      <w:smartTag w:uri="urn:schemas-microsoft-com:office:smarttags" w:element="PlaceType">
        <w:r>
          <w:rPr>
            <w:rFonts w:ascii="Book Antiqua" w:hAnsi="Book Antiqua" w:cs="Arial"/>
          </w:rPr>
          <w:t>United Kingdom</w:t>
        </w:r>
      </w:smartTag>
      <w:r>
        <w:rPr>
          <w:rFonts w:ascii="Book Antiqua" w:hAnsi="Book Antiqua" w:cs="Arial"/>
        </w:rPr>
        <w:t xml:space="preserve">.  It would be harsh in the extreme to expect Mr Akinola to sever his ties with the </w:t>
      </w:r>
      <w:smartTag w:uri="urn:schemas-microsoft-com:office:smarttags" w:element="PlaceType">
        <w:r>
          <w:rPr>
            <w:rFonts w:ascii="Book Antiqua" w:hAnsi="Book Antiqua" w:cs="Arial"/>
          </w:rPr>
          <w:t>United Kingdom</w:t>
        </w:r>
      </w:smartTag>
      <w:r>
        <w:rPr>
          <w:rFonts w:ascii="Book Antiqua" w:hAnsi="Book Antiqua" w:cs="Arial"/>
        </w:rPr>
        <w:t xml:space="preserve"> in order to carry on family life with the appellant in </w:t>
      </w:r>
      <w:smartTag w:uri="urn:schemas-microsoft-com:office:smarttags" w:element="PlaceType">
        <w:r>
          <w:rPr>
            <w:rFonts w:ascii="Book Antiqua" w:hAnsi="Book Antiqua" w:cs="Arial"/>
          </w:rPr>
          <w:t>Nigeria</w:t>
        </w:r>
      </w:smartTag>
      <w:r>
        <w:rPr>
          <w:rFonts w:ascii="Book Antiqua" w:hAnsi="Book Antiqua" w:cs="Arial"/>
        </w:rPr>
        <w:t xml:space="preserve">.  His has been a very lengthy residence in the </w:t>
      </w:r>
      <w:smartTag w:uri="urn:schemas-microsoft-com:office:smarttags" w:element="PlaceType">
        <w:r>
          <w:rPr>
            <w:rFonts w:ascii="Book Antiqua" w:hAnsi="Book Antiqua" w:cs="Arial"/>
          </w:rPr>
          <w:t>United Kingdom</w:t>
        </w:r>
      </w:smartTag>
      <w:r>
        <w:rPr>
          <w:rFonts w:ascii="Book Antiqua" w:hAnsi="Book Antiqua" w:cs="Arial"/>
        </w:rPr>
        <w:t xml:space="preserve">.  Drawing due and proper inferences from his circumstances as a whole, and indeed those reflected in the documents which the respondent referred to in her Reasons for Refusal Letter, his ties and connections are far greater with and in the </w:t>
      </w:r>
      <w:smartTag w:uri="urn:schemas-microsoft-com:office:smarttags" w:element="PlaceType">
        <w:r>
          <w:rPr>
            <w:rFonts w:ascii="Book Antiqua" w:hAnsi="Book Antiqua" w:cs="Arial"/>
          </w:rPr>
          <w:t>United Kingdom</w:t>
        </w:r>
      </w:smartTag>
      <w:r>
        <w:rPr>
          <w:rFonts w:ascii="Book Antiqua" w:hAnsi="Book Antiqua" w:cs="Arial"/>
        </w:rPr>
        <w:t xml:space="preserve"> than they are with and in </w:t>
      </w:r>
      <w:smartTag w:uri="urn:schemas-microsoft-com:office:smarttags" w:element="PlaceType">
        <w:r>
          <w:rPr>
            <w:rFonts w:ascii="Book Antiqua" w:hAnsi="Book Antiqua" w:cs="Arial"/>
          </w:rPr>
          <w:t>Nigeria</w:t>
        </w:r>
      </w:smartTag>
      <w:r>
        <w:rPr>
          <w:rFonts w:ascii="Book Antiqua" w:hAnsi="Book Antiqua" w:cs="Arial"/>
        </w:rPr>
        <w:t>.  He has a daughter with whom he is in contact.  Such contact would surely be underm</w:t>
      </w:r>
      <w:r w:rsidR="00EF7181">
        <w:rPr>
          <w:rFonts w:ascii="Book Antiqua" w:hAnsi="Book Antiqua" w:cs="Arial"/>
        </w:rPr>
        <w:t>ined by the geographical divide?</w:t>
      </w:r>
      <w:r>
        <w:rPr>
          <w:rFonts w:ascii="Book Antiqua" w:hAnsi="Book Antiqua" w:cs="Arial"/>
        </w:rPr>
        <w:t xml:space="preserve">  I do acknowledge that Mr Akinola, doing the best I can on the evidence, grew up and developed as a man in </w:t>
      </w:r>
      <w:smartTag w:uri="urn:schemas-microsoft-com:office:smarttags" w:element="PlaceType">
        <w:r>
          <w:rPr>
            <w:rFonts w:ascii="Book Antiqua" w:hAnsi="Book Antiqua" w:cs="Arial"/>
          </w:rPr>
          <w:t>Nigeria</w:t>
        </w:r>
      </w:smartTag>
      <w:r>
        <w:rPr>
          <w:rFonts w:ascii="Book Antiqua" w:hAnsi="Book Antiqua" w:cs="Arial"/>
        </w:rPr>
        <w:t xml:space="preserve">.  He is not to be equated with the position of a person born and bred in the </w:t>
      </w:r>
      <w:smartTag w:uri="urn:schemas-microsoft-com:office:smarttags" w:element="PlaceType">
        <w:r>
          <w:rPr>
            <w:rFonts w:ascii="Book Antiqua" w:hAnsi="Book Antiqua" w:cs="Arial"/>
          </w:rPr>
          <w:t>United Kingdom</w:t>
        </w:r>
      </w:smartTag>
      <w:r>
        <w:rPr>
          <w:rFonts w:ascii="Book Antiqua" w:hAnsi="Book Antiqua" w:cs="Arial"/>
        </w:rPr>
        <w:t xml:space="preserve"> who is to accompany one such as the appellant to a country with which he has no connection, understanding or sympathy.  However, I think the sacrifice – I do not put out of my mind the extreme difficulty which he would experience in achieving employment in </w:t>
      </w:r>
      <w:smartTag w:uri="urn:schemas-microsoft-com:office:smarttags" w:element="PlaceType">
        <w:r>
          <w:rPr>
            <w:rFonts w:ascii="Book Antiqua" w:hAnsi="Book Antiqua" w:cs="Arial"/>
          </w:rPr>
          <w:t>Nigeria</w:t>
        </w:r>
      </w:smartTag>
      <w:r>
        <w:rPr>
          <w:rFonts w:ascii="Book Antiqua" w:hAnsi="Book Antiqua" w:cs="Arial"/>
        </w:rPr>
        <w:t xml:space="preserve"> – would be too great.  Mr Akinola would be separated from that life which he has built up over a period as long as 23 years.  It would not be reasonable to expect him to leave the </w:t>
      </w:r>
      <w:smartTag w:uri="urn:schemas-microsoft-com:office:smarttags" w:element="PlaceType">
        <w:r>
          <w:rPr>
            <w:rFonts w:ascii="Book Antiqua" w:hAnsi="Book Antiqua" w:cs="Arial"/>
          </w:rPr>
          <w:t>United Kingdom</w:t>
        </w:r>
      </w:smartTag>
      <w:r>
        <w:rPr>
          <w:rFonts w:ascii="Book Antiqua" w:hAnsi="Book Antiqua" w:cs="Arial"/>
        </w:rPr>
        <w:t xml:space="preserve"> in order to carry on family life with the appellant in </w:t>
      </w:r>
      <w:smartTag w:uri="urn:schemas-microsoft-com:office:smarttags" w:element="PlaceType">
        <w:r>
          <w:rPr>
            <w:rFonts w:ascii="Book Antiqua" w:hAnsi="Book Antiqua" w:cs="Arial"/>
          </w:rPr>
          <w:t>Nigeria</w:t>
        </w:r>
      </w:smartTag>
      <w:r>
        <w:rPr>
          <w:rFonts w:ascii="Book Antiqua" w:hAnsi="Book Antiqua" w:cs="Arial"/>
        </w:rPr>
        <w:t>.”</w:t>
      </w:r>
    </w:p>
    <w:p w:rsidR="00950EBA" w:rsidRDefault="00950EBA" w:rsidP="00950EBA">
      <w:pPr>
        <w:tabs>
          <w:tab w:val="left" w:pos="567"/>
        </w:tabs>
        <w:jc w:val="both"/>
        <w:rPr>
          <w:rFonts w:ascii="Book Antiqua" w:hAnsi="Book Antiqua" w:cs="Arial"/>
        </w:rPr>
      </w:pPr>
    </w:p>
    <w:p w:rsidR="00950EBA" w:rsidRDefault="00950EBA" w:rsidP="00C33BFD">
      <w:pPr>
        <w:numPr>
          <w:ilvl w:val="0"/>
          <w:numId w:val="1"/>
        </w:numPr>
        <w:tabs>
          <w:tab w:val="clear" w:pos="927"/>
          <w:tab w:val="num" w:pos="540"/>
          <w:tab w:val="left" w:pos="567"/>
        </w:tabs>
        <w:ind w:left="540" w:hanging="540"/>
        <w:jc w:val="both"/>
        <w:rPr>
          <w:rFonts w:ascii="Book Antiqua" w:hAnsi="Book Antiqua" w:cs="Arial"/>
        </w:rPr>
      </w:pPr>
      <w:r>
        <w:rPr>
          <w:rFonts w:ascii="Book Antiqua" w:hAnsi="Book Antiqua" w:cs="Arial"/>
        </w:rPr>
        <w:t>He therefore allowed the appeal on human rights grounds.</w:t>
      </w:r>
    </w:p>
    <w:p w:rsidR="00950EBA" w:rsidRDefault="00950EBA" w:rsidP="00950EBA">
      <w:pPr>
        <w:tabs>
          <w:tab w:val="left" w:pos="567"/>
        </w:tabs>
        <w:jc w:val="both"/>
        <w:rPr>
          <w:rFonts w:ascii="Book Antiqua" w:hAnsi="Book Antiqua" w:cs="Arial"/>
        </w:rPr>
      </w:pPr>
    </w:p>
    <w:p w:rsidR="00950EBA" w:rsidRPr="001E5267" w:rsidRDefault="00950EBA" w:rsidP="00950EBA">
      <w:pPr>
        <w:tabs>
          <w:tab w:val="num" w:pos="540"/>
          <w:tab w:val="left" w:pos="567"/>
        </w:tabs>
        <w:ind w:left="540" w:hanging="540"/>
        <w:jc w:val="both"/>
        <w:outlineLvl w:val="0"/>
        <w:rPr>
          <w:rFonts w:ascii="Book Antiqua" w:hAnsi="Book Antiqua" w:cs="Arial"/>
          <w:u w:val="single"/>
        </w:rPr>
      </w:pPr>
      <w:r w:rsidRPr="001E5267">
        <w:rPr>
          <w:rFonts w:ascii="Book Antiqua" w:hAnsi="Book Antiqua" w:cs="Arial"/>
          <w:u w:val="single"/>
        </w:rPr>
        <w:t xml:space="preserve">Grounds of </w:t>
      </w:r>
      <w:r>
        <w:rPr>
          <w:rFonts w:ascii="Book Antiqua" w:hAnsi="Book Antiqua" w:cs="Arial"/>
          <w:u w:val="single"/>
        </w:rPr>
        <w:t>A</w:t>
      </w:r>
      <w:r w:rsidRPr="001E5267">
        <w:rPr>
          <w:rFonts w:ascii="Book Antiqua" w:hAnsi="Book Antiqua" w:cs="Arial"/>
          <w:u w:val="single"/>
        </w:rPr>
        <w:t>ppeal</w:t>
      </w:r>
    </w:p>
    <w:p w:rsidR="00950EBA" w:rsidRDefault="00950EBA" w:rsidP="00950EBA">
      <w:pPr>
        <w:tabs>
          <w:tab w:val="left" w:pos="567"/>
        </w:tabs>
        <w:jc w:val="both"/>
        <w:rPr>
          <w:rFonts w:ascii="Book Antiqua" w:hAnsi="Book Antiqua" w:cs="Arial"/>
        </w:rPr>
      </w:pPr>
    </w:p>
    <w:p w:rsidR="00950EBA" w:rsidRDefault="00950EBA" w:rsidP="00950E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Secretary of State’s grounds of appeal were concise.  There were in substance four  in number and may be summarised as follows:-</w:t>
      </w:r>
    </w:p>
    <w:p w:rsidR="00950EBA" w:rsidRDefault="00950EBA" w:rsidP="00950EBA">
      <w:pPr>
        <w:tabs>
          <w:tab w:val="left" w:pos="567"/>
        </w:tabs>
        <w:jc w:val="both"/>
        <w:rPr>
          <w:rFonts w:ascii="Book Antiqua" w:hAnsi="Book Antiqua" w:cs="Arial"/>
        </w:rPr>
      </w:pPr>
    </w:p>
    <w:p w:rsidR="001E6082" w:rsidRDefault="00950EBA" w:rsidP="001E6082">
      <w:pPr>
        <w:numPr>
          <w:ilvl w:val="1"/>
          <w:numId w:val="1"/>
        </w:numPr>
        <w:tabs>
          <w:tab w:val="left" w:pos="567"/>
        </w:tabs>
        <w:jc w:val="both"/>
        <w:rPr>
          <w:rFonts w:ascii="Book Antiqua" w:hAnsi="Book Antiqua" w:cs="Arial"/>
        </w:rPr>
      </w:pPr>
      <w:r>
        <w:rPr>
          <w:rFonts w:ascii="Book Antiqua" w:hAnsi="Book Antiqua" w:cs="Arial"/>
        </w:rPr>
        <w:t>The judge gave no consideration to Appendix FM 1 at all although it had bee</w:t>
      </w:r>
      <w:r w:rsidR="001E6082">
        <w:rPr>
          <w:rFonts w:ascii="Book Antiqua" w:hAnsi="Book Antiqua" w:cs="Arial"/>
        </w:rPr>
        <w:t>n cited in the refusal decision.</w:t>
      </w:r>
    </w:p>
    <w:p w:rsidR="00D2334F" w:rsidRDefault="00D2334F" w:rsidP="00D2334F">
      <w:pPr>
        <w:tabs>
          <w:tab w:val="left" w:pos="567"/>
        </w:tabs>
        <w:ind w:left="1287"/>
        <w:jc w:val="both"/>
        <w:rPr>
          <w:rFonts w:ascii="Book Antiqua" w:hAnsi="Book Antiqua" w:cs="Arial"/>
        </w:rPr>
      </w:pPr>
    </w:p>
    <w:p w:rsidR="00C56534" w:rsidRDefault="00950EBA" w:rsidP="001E6082">
      <w:pPr>
        <w:numPr>
          <w:ilvl w:val="1"/>
          <w:numId w:val="1"/>
        </w:numPr>
        <w:tabs>
          <w:tab w:val="left" w:pos="567"/>
        </w:tabs>
        <w:jc w:val="both"/>
        <w:rPr>
          <w:rFonts w:ascii="Book Antiqua" w:hAnsi="Book Antiqua" w:cs="Arial"/>
        </w:rPr>
      </w:pPr>
      <w:r>
        <w:rPr>
          <w:rFonts w:ascii="Book Antiqua" w:hAnsi="Book Antiqua" w:cs="Arial"/>
        </w:rPr>
        <w:t xml:space="preserve">He erred in asking the question whether it was reasonable to expect Mr Akinola to relocate to </w:t>
      </w:r>
      <w:smartTag w:uri="urn:schemas-microsoft-com:office:smarttags" w:element="PlaceType">
        <w:r>
          <w:rPr>
            <w:rFonts w:ascii="Book Antiqua" w:hAnsi="Book Antiqua" w:cs="Arial"/>
          </w:rPr>
          <w:t>Nigeria</w:t>
        </w:r>
      </w:smartTag>
      <w:r>
        <w:rPr>
          <w:rFonts w:ascii="Book Antiqua" w:hAnsi="Book Antiqua" w:cs="Arial"/>
        </w:rPr>
        <w:t xml:space="preserve"> rather than using the test under </w:t>
      </w:r>
      <w:r w:rsidR="001E6082">
        <w:rPr>
          <w:rFonts w:ascii="Book Antiqua" w:hAnsi="Book Antiqua" w:cs="Arial"/>
        </w:rPr>
        <w:t xml:space="preserve">Appendix FM </w:t>
      </w:r>
      <w:r w:rsidR="00C56534">
        <w:rPr>
          <w:rFonts w:ascii="Book Antiqua" w:hAnsi="Book Antiqua" w:cs="Arial"/>
        </w:rPr>
        <w:t>Se</w:t>
      </w:r>
      <w:r w:rsidR="001E6082">
        <w:rPr>
          <w:rFonts w:ascii="Book Antiqua" w:hAnsi="Book Antiqua" w:cs="Arial"/>
        </w:rPr>
        <w:t xml:space="preserve">ction R-ILRP and </w:t>
      </w:r>
      <w:r w:rsidR="00EF7181">
        <w:rPr>
          <w:rFonts w:ascii="Book Antiqua" w:hAnsi="Book Antiqua" w:cs="Arial"/>
        </w:rPr>
        <w:t xml:space="preserve">the </w:t>
      </w:r>
      <w:r w:rsidR="00C56534">
        <w:rPr>
          <w:rFonts w:ascii="Book Antiqua" w:hAnsi="Book Antiqua" w:cs="Arial"/>
        </w:rPr>
        <w:t xml:space="preserve">Section EX </w:t>
      </w:r>
      <w:r w:rsidR="00EF7181">
        <w:rPr>
          <w:rFonts w:ascii="Book Antiqua" w:hAnsi="Book Antiqua" w:cs="Arial"/>
        </w:rPr>
        <w:t xml:space="preserve">(b) </w:t>
      </w:r>
      <w:r w:rsidR="001E6082">
        <w:rPr>
          <w:rFonts w:ascii="Book Antiqua" w:hAnsi="Book Antiqua" w:cs="Arial"/>
        </w:rPr>
        <w:t>Exception</w:t>
      </w:r>
      <w:r w:rsidR="00EF7181">
        <w:rPr>
          <w:rFonts w:ascii="Book Antiqua" w:hAnsi="Book Antiqua" w:cs="Arial"/>
        </w:rPr>
        <w:t xml:space="preserve"> </w:t>
      </w:r>
      <w:r>
        <w:rPr>
          <w:rFonts w:ascii="Book Antiqua" w:hAnsi="Book Antiqua" w:cs="Arial"/>
        </w:rPr>
        <w:t xml:space="preserve">of whether </w:t>
      </w:r>
      <w:r w:rsidR="00C56534">
        <w:rPr>
          <w:rFonts w:ascii="Book Antiqua" w:hAnsi="Book Antiqua" w:cs="Arial"/>
        </w:rPr>
        <w:t xml:space="preserve">“there are insurmountable obstacles to family life with that partner continuing outside the </w:t>
      </w:r>
      <w:smartTag w:uri="urn:schemas-microsoft-com:office:smarttags" w:element="PlaceType">
        <w:r w:rsidR="00C56534">
          <w:rPr>
            <w:rFonts w:ascii="Book Antiqua" w:hAnsi="Book Antiqua" w:cs="Arial"/>
          </w:rPr>
          <w:t>UK</w:t>
        </w:r>
      </w:smartTag>
      <w:r w:rsidR="00C56534">
        <w:rPr>
          <w:rFonts w:ascii="Book Antiqua" w:hAnsi="Book Antiqua" w:cs="Arial"/>
        </w:rPr>
        <w:t>”.</w:t>
      </w:r>
    </w:p>
    <w:p w:rsidR="00D2334F" w:rsidRDefault="00D2334F" w:rsidP="00D2334F">
      <w:pPr>
        <w:tabs>
          <w:tab w:val="left" w:pos="567"/>
        </w:tabs>
        <w:jc w:val="both"/>
        <w:rPr>
          <w:rFonts w:ascii="Book Antiqua" w:hAnsi="Book Antiqua" w:cs="Arial"/>
        </w:rPr>
      </w:pPr>
    </w:p>
    <w:p w:rsidR="00950EBA" w:rsidRDefault="00950EBA" w:rsidP="00950EBA">
      <w:pPr>
        <w:numPr>
          <w:ilvl w:val="1"/>
          <w:numId w:val="1"/>
        </w:numPr>
        <w:tabs>
          <w:tab w:val="left" w:pos="567"/>
        </w:tabs>
        <w:jc w:val="both"/>
        <w:rPr>
          <w:rFonts w:ascii="Book Antiqua" w:hAnsi="Book Antiqua" w:cs="Arial"/>
        </w:rPr>
      </w:pPr>
      <w:r>
        <w:rPr>
          <w:rFonts w:ascii="Book Antiqua" w:hAnsi="Book Antiqua" w:cs="Arial"/>
        </w:rPr>
        <w:t>The judge failed to give sufficient reasons for his findings on Article 8 and whether it was reasonable to expect Mr Akinola to relocate.</w:t>
      </w:r>
    </w:p>
    <w:p w:rsidR="00D2334F" w:rsidRDefault="00D2334F" w:rsidP="00D2334F">
      <w:pPr>
        <w:tabs>
          <w:tab w:val="left" w:pos="567"/>
        </w:tabs>
        <w:jc w:val="both"/>
        <w:rPr>
          <w:rFonts w:ascii="Book Antiqua" w:hAnsi="Book Antiqua" w:cs="Arial"/>
        </w:rPr>
      </w:pPr>
    </w:p>
    <w:p w:rsidR="00950EBA" w:rsidRDefault="00950EBA" w:rsidP="00950EBA">
      <w:pPr>
        <w:numPr>
          <w:ilvl w:val="1"/>
          <w:numId w:val="1"/>
        </w:numPr>
        <w:tabs>
          <w:tab w:val="left" w:pos="567"/>
        </w:tabs>
        <w:jc w:val="both"/>
        <w:rPr>
          <w:rFonts w:ascii="Book Antiqua" w:hAnsi="Book Antiqua" w:cs="Arial"/>
        </w:rPr>
      </w:pPr>
      <w:r>
        <w:rPr>
          <w:rFonts w:ascii="Book Antiqua" w:hAnsi="Book Antiqua" w:cs="Arial"/>
        </w:rPr>
        <w:t xml:space="preserve">The judge failed to give sufficient weight to the legitimate aim of safeguarding the economic well being of the </w:t>
      </w:r>
      <w:smartTag w:uri="urn:schemas-microsoft-com:office:smarttags" w:element="PlaceType">
        <w:r>
          <w:rPr>
            <w:rFonts w:ascii="Book Antiqua" w:hAnsi="Book Antiqua" w:cs="Arial"/>
          </w:rPr>
          <w:t>UK</w:t>
        </w:r>
      </w:smartTag>
      <w:r>
        <w:rPr>
          <w:rFonts w:ascii="Book Antiqua" w:hAnsi="Book Antiqua" w:cs="Arial"/>
        </w:rPr>
        <w:t xml:space="preserve"> through effective immigration control and the public interest in removing her.</w:t>
      </w:r>
    </w:p>
    <w:p w:rsidR="00950EBA" w:rsidRDefault="00950EBA" w:rsidP="00950EBA">
      <w:pPr>
        <w:tabs>
          <w:tab w:val="left" w:pos="567"/>
        </w:tabs>
        <w:jc w:val="both"/>
        <w:rPr>
          <w:rFonts w:ascii="Book Antiqua" w:hAnsi="Book Antiqua" w:cs="Arial"/>
        </w:rPr>
      </w:pPr>
    </w:p>
    <w:p w:rsidR="008419CB" w:rsidRDefault="00950EBA" w:rsidP="008419CB">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At the hearing Mr Nath clarified the appellant’s case by indicating that ground iv. above was intended to include the submission that the judge’s conclusion</w:t>
      </w:r>
      <w:r w:rsidR="001E6082">
        <w:rPr>
          <w:rFonts w:ascii="Book Antiqua" w:hAnsi="Book Antiqua" w:cs="Arial"/>
        </w:rPr>
        <w:t>s were wrong as a matter of law</w:t>
      </w:r>
      <w:r>
        <w:rPr>
          <w:rFonts w:ascii="Book Antiqua" w:hAnsi="Book Antiqua" w:cs="Arial"/>
        </w:rPr>
        <w:t xml:space="preserve"> because they were irrational, in that no properly self</w:t>
      </w:r>
      <w:r w:rsidR="0008541F">
        <w:rPr>
          <w:rFonts w:ascii="Book Antiqua" w:hAnsi="Book Antiqua" w:cs="Arial"/>
        </w:rPr>
        <w:t>-</w:t>
      </w:r>
      <w:r>
        <w:rPr>
          <w:rFonts w:ascii="Book Antiqua" w:hAnsi="Book Antiqua" w:cs="Arial"/>
        </w:rPr>
        <w:t xml:space="preserve"> directing judge could legitimately have reached them on the findings of fact he had made.</w:t>
      </w:r>
    </w:p>
    <w:p w:rsidR="008419CB" w:rsidRDefault="008419CB" w:rsidP="008419CB">
      <w:pPr>
        <w:tabs>
          <w:tab w:val="left" w:pos="567"/>
        </w:tabs>
        <w:jc w:val="both"/>
        <w:rPr>
          <w:rFonts w:ascii="Book Antiqua" w:hAnsi="Book Antiqua" w:cs="Arial"/>
        </w:rPr>
      </w:pPr>
    </w:p>
    <w:p w:rsidR="008419CB" w:rsidRPr="008419CB" w:rsidRDefault="00887314" w:rsidP="008419CB">
      <w:pPr>
        <w:tabs>
          <w:tab w:val="left" w:pos="567"/>
        </w:tabs>
        <w:jc w:val="both"/>
        <w:rPr>
          <w:rFonts w:ascii="Book Antiqua" w:hAnsi="Book Antiqua" w:cs="Arial"/>
          <w:u w:val="single"/>
        </w:rPr>
      </w:pPr>
      <w:r>
        <w:rPr>
          <w:rFonts w:ascii="Book Antiqua" w:hAnsi="Book Antiqua" w:cs="Arial"/>
          <w:u w:val="single"/>
        </w:rPr>
        <w:t>The status of H</w:t>
      </w:r>
      <w:r w:rsidR="008419CB" w:rsidRPr="008419CB">
        <w:rPr>
          <w:rFonts w:ascii="Book Antiqua" w:hAnsi="Book Antiqua" w:cs="Arial"/>
          <w:u w:val="single"/>
        </w:rPr>
        <w:t>C 194 Appendix FM</w:t>
      </w:r>
    </w:p>
    <w:p w:rsidR="008419CB" w:rsidRDefault="008419CB" w:rsidP="008419CB">
      <w:pPr>
        <w:tabs>
          <w:tab w:val="left" w:pos="567"/>
        </w:tabs>
        <w:jc w:val="both"/>
        <w:rPr>
          <w:rFonts w:ascii="Book Antiqua" w:hAnsi="Book Antiqua" w:cs="Arial"/>
        </w:rPr>
      </w:pPr>
    </w:p>
    <w:p w:rsidR="008419CB" w:rsidRDefault="00C33BFD" w:rsidP="008419CB">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HC 194 is a set of changes to the Immigration Rules laid befo</w:t>
      </w:r>
      <w:r w:rsidR="008419CB">
        <w:rPr>
          <w:rFonts w:ascii="Book Antiqua" w:hAnsi="Book Antiqua" w:cs="Arial"/>
        </w:rPr>
        <w:t xml:space="preserve">re Parliament on 13 June 2012. </w:t>
      </w:r>
      <w:r>
        <w:rPr>
          <w:rFonts w:ascii="Book Antiqua" w:hAnsi="Book Antiqua" w:cs="Arial"/>
        </w:rPr>
        <w:t>It was accompanied by an Explanatory Statement indicating amongst other things that the purpose of the Rules was:</w:t>
      </w:r>
    </w:p>
    <w:p w:rsidR="008419CB" w:rsidRDefault="008419CB" w:rsidP="008419CB">
      <w:pPr>
        <w:tabs>
          <w:tab w:val="left" w:pos="567"/>
        </w:tabs>
        <w:jc w:val="both"/>
        <w:rPr>
          <w:rFonts w:ascii="Book Antiqua" w:hAnsi="Book Antiqua" w:cs="Arial"/>
        </w:rPr>
      </w:pPr>
    </w:p>
    <w:p w:rsidR="008419CB" w:rsidRDefault="008419CB" w:rsidP="008419CB">
      <w:pPr>
        <w:tabs>
          <w:tab w:val="left" w:pos="0"/>
          <w:tab w:val="left" w:pos="1260"/>
        </w:tabs>
        <w:ind w:left="1260"/>
        <w:jc w:val="both"/>
        <w:rPr>
          <w:rFonts w:ascii="Book Antiqua" w:hAnsi="Book Antiqua" w:cs="Arial"/>
        </w:rPr>
      </w:pPr>
      <w:r>
        <w:rPr>
          <w:rFonts w:ascii="Book Antiqua" w:hAnsi="Book Antiqua" w:cs="Arial"/>
        </w:rPr>
        <w:t xml:space="preserve">“To provide a clear basis for considering immigration family and private life cases in compliance with Article 8 of the European Convention on Human Rights (the right to respect for private and family life). In particular, the new Immigration Rules reflect the qualified nature of Article 8, setting requirements which correctly balance the individual’s right to respect for private and family life with the public interest in safeguarding the economic well-being of the </w:t>
      </w:r>
      <w:smartTag w:uri="urn:schemas-microsoft-com:office:smarttags" w:element="PlaceType">
        <w:r>
          <w:rPr>
            <w:rFonts w:ascii="Book Antiqua" w:hAnsi="Book Antiqua" w:cs="Arial"/>
          </w:rPr>
          <w:t>UK</w:t>
        </w:r>
      </w:smartTag>
      <w:r>
        <w:rPr>
          <w:rFonts w:ascii="Book Antiqua" w:hAnsi="Book Antiqua" w:cs="Arial"/>
        </w:rPr>
        <w:t xml:space="preserve"> by controlling immigration and protecting the public from foreign criminals”.</w:t>
      </w:r>
    </w:p>
    <w:p w:rsidR="008419CB" w:rsidRDefault="008419CB" w:rsidP="008419CB">
      <w:pPr>
        <w:tabs>
          <w:tab w:val="left" w:pos="567"/>
        </w:tabs>
        <w:jc w:val="both"/>
        <w:rPr>
          <w:rFonts w:ascii="Book Antiqua" w:hAnsi="Book Antiqua" w:cs="Arial"/>
        </w:rPr>
      </w:pPr>
    </w:p>
    <w:p w:rsidR="00C33BFD" w:rsidRDefault="008419CB" w:rsidP="008419CB">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w:t>
      </w:r>
      <w:r w:rsidR="00C33BFD">
        <w:rPr>
          <w:rFonts w:ascii="Book Antiqua" w:hAnsi="Book Antiqua" w:cs="Arial"/>
        </w:rPr>
        <w:t xml:space="preserve">he House of Commons debated a motion tabled by the Government in support of these Rules on 19 June 2012. The motion was </w:t>
      </w:r>
      <w:r>
        <w:rPr>
          <w:rFonts w:ascii="Book Antiqua" w:hAnsi="Book Antiqua" w:cs="Arial"/>
        </w:rPr>
        <w:t>carried without a division. T</w:t>
      </w:r>
      <w:r w:rsidR="00C33BFD">
        <w:rPr>
          <w:rFonts w:ascii="Book Antiqua" w:hAnsi="Book Antiqua" w:cs="Arial"/>
        </w:rPr>
        <w:t>he conventional negative resolution procedure required</w:t>
      </w:r>
      <w:r>
        <w:rPr>
          <w:rFonts w:ascii="Book Antiqua" w:hAnsi="Book Antiqua" w:cs="Arial"/>
        </w:rPr>
        <w:t xml:space="preserve"> by Immigration Act 1971 s.</w:t>
      </w:r>
      <w:r w:rsidR="00C02D20">
        <w:rPr>
          <w:rFonts w:ascii="Book Antiqua" w:hAnsi="Book Antiqua" w:cs="Arial"/>
        </w:rPr>
        <w:t xml:space="preserve"> </w:t>
      </w:r>
      <w:r>
        <w:rPr>
          <w:rFonts w:ascii="Book Antiqua" w:hAnsi="Book Antiqua" w:cs="Arial"/>
        </w:rPr>
        <w:t>3(2) was adopted in the House of Lords.  Both Houses were thus conte</w:t>
      </w:r>
      <w:r w:rsidR="00C02D20">
        <w:rPr>
          <w:rFonts w:ascii="Book Antiqua" w:hAnsi="Book Antiqua" w:cs="Arial"/>
        </w:rPr>
        <w:t xml:space="preserve">nt </w:t>
      </w:r>
      <w:r w:rsidR="0008541F">
        <w:rPr>
          <w:rFonts w:ascii="Book Antiqua" w:hAnsi="Book Antiqua" w:cs="Arial"/>
        </w:rPr>
        <w:t>for the</w:t>
      </w:r>
      <w:r w:rsidR="00C856E3">
        <w:rPr>
          <w:rFonts w:ascii="Book Antiqua" w:hAnsi="Book Antiqua" w:cs="Arial"/>
        </w:rPr>
        <w:t xml:space="preserve"> Secretary of State </w:t>
      </w:r>
      <w:r w:rsidR="00C02D20">
        <w:rPr>
          <w:rFonts w:ascii="Book Antiqua" w:hAnsi="Book Antiqua" w:cs="Arial"/>
        </w:rPr>
        <w:t xml:space="preserve">to </w:t>
      </w:r>
      <w:r w:rsidR="00C856E3">
        <w:rPr>
          <w:rFonts w:ascii="Book Antiqua" w:hAnsi="Book Antiqua" w:cs="Arial"/>
        </w:rPr>
        <w:t>adopt the statement of practice she has laid before them.</w:t>
      </w:r>
    </w:p>
    <w:p w:rsidR="00C856E3" w:rsidRDefault="00C856E3" w:rsidP="00C856E3">
      <w:pPr>
        <w:tabs>
          <w:tab w:val="left" w:pos="567"/>
        </w:tabs>
        <w:jc w:val="both"/>
        <w:rPr>
          <w:rFonts w:ascii="Book Antiqua" w:hAnsi="Book Antiqua" w:cs="Arial"/>
        </w:rPr>
      </w:pPr>
    </w:p>
    <w:p w:rsidR="00C02D20" w:rsidRDefault="00C856E3" w:rsidP="00C02D2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As a consequence, it has been submitted to us in th</w:t>
      </w:r>
      <w:r w:rsidR="00C02D20">
        <w:rPr>
          <w:rFonts w:ascii="Book Antiqua" w:hAnsi="Book Antiqua" w:cs="Arial"/>
        </w:rPr>
        <w:t>e</w:t>
      </w:r>
      <w:r w:rsidR="004C6182">
        <w:rPr>
          <w:rFonts w:ascii="Book Antiqua" w:hAnsi="Book Antiqua" w:cs="Arial"/>
        </w:rPr>
        <w:t xml:space="preserve"> Secretary of State</w:t>
      </w:r>
      <w:r w:rsidR="00C02D20">
        <w:rPr>
          <w:rFonts w:ascii="Book Antiqua" w:hAnsi="Book Antiqua" w:cs="Arial"/>
        </w:rPr>
        <w:t>’s written submissions</w:t>
      </w:r>
      <w:r>
        <w:rPr>
          <w:rFonts w:ascii="Book Antiqua" w:hAnsi="Book Antiqua" w:cs="Arial"/>
        </w:rPr>
        <w:t>:</w:t>
      </w:r>
    </w:p>
    <w:p w:rsidR="00C02D20" w:rsidRDefault="00C02D20" w:rsidP="00C02D20">
      <w:pPr>
        <w:tabs>
          <w:tab w:val="left" w:pos="567"/>
        </w:tabs>
        <w:jc w:val="both"/>
        <w:rPr>
          <w:rFonts w:ascii="Book Antiqua" w:hAnsi="Book Antiqua" w:cs="Arial"/>
        </w:rPr>
      </w:pPr>
    </w:p>
    <w:p w:rsidR="00C02D20" w:rsidRDefault="00D2334F" w:rsidP="00C02D20">
      <w:pPr>
        <w:tabs>
          <w:tab w:val="left" w:pos="1260"/>
        </w:tabs>
        <w:ind w:left="1260" w:hanging="180"/>
        <w:jc w:val="both"/>
        <w:rPr>
          <w:rFonts w:ascii="Book Antiqua" w:hAnsi="Book Antiqua" w:cs="Arial"/>
        </w:rPr>
      </w:pPr>
      <w:r>
        <w:rPr>
          <w:rFonts w:ascii="Book Antiqua" w:hAnsi="Book Antiqua" w:cs="Arial"/>
        </w:rPr>
        <w:t xml:space="preserve"> </w:t>
      </w:r>
      <w:r w:rsidR="00C02D20">
        <w:rPr>
          <w:rFonts w:ascii="Book Antiqua" w:hAnsi="Book Antiqua" w:cs="Arial"/>
        </w:rPr>
        <w:t>“</w:t>
      </w:r>
      <w:r w:rsidR="00EF7181">
        <w:rPr>
          <w:rFonts w:ascii="Book Antiqua" w:hAnsi="Book Antiqua" w:cs="Arial"/>
        </w:rPr>
        <w:t>However, while the R</w:t>
      </w:r>
      <w:r w:rsidR="00C02D20">
        <w:rPr>
          <w:rFonts w:ascii="Book Antiqua" w:hAnsi="Book Antiqua" w:cs="Arial"/>
        </w:rPr>
        <w:t xml:space="preserve">ules do not bind the Courts, in the same way as primary legislation, they are a clear, democratically endorsed, statement of public policy which must now be taken into account by the courts when assessing proportionality. The Secretary of State would expect the Court to defer to the view endorsed by Parliament on how, broadly, public policy considerations are weighed against individual family and private life rights, when assessing Article 8 in any individual case. That is, save in a narrow group of cases where it is found that the consequences of the immigration decision are exceptional…. </w:t>
      </w:r>
    </w:p>
    <w:p w:rsidR="00C02D20" w:rsidRDefault="00C02D20" w:rsidP="00C02D20">
      <w:pPr>
        <w:tabs>
          <w:tab w:val="left" w:pos="1260"/>
        </w:tabs>
        <w:ind w:left="1260" w:hanging="180"/>
        <w:jc w:val="both"/>
        <w:rPr>
          <w:rFonts w:ascii="Book Antiqua" w:hAnsi="Book Antiqua" w:cs="Arial"/>
        </w:rPr>
      </w:pPr>
    </w:p>
    <w:p w:rsidR="00C02D20" w:rsidRDefault="00C02D20" w:rsidP="00C02D20">
      <w:pPr>
        <w:tabs>
          <w:tab w:val="left" w:pos="1260"/>
        </w:tabs>
        <w:ind w:left="1260" w:hanging="180"/>
        <w:jc w:val="both"/>
        <w:rPr>
          <w:rFonts w:ascii="Book Antiqua" w:hAnsi="Book Antiqua" w:cs="Arial"/>
        </w:rPr>
      </w:pPr>
      <w:r>
        <w:rPr>
          <w:rFonts w:ascii="Book Antiqua" w:hAnsi="Book Antiqua" w:cs="Arial"/>
        </w:rPr>
        <w:tab/>
        <w:t xml:space="preserve">In summary, the Government can interfere in the exercise of  Article 8 rights where in the public interest it is necessary and proportionate to do so, including to safeguard the UK’s economic well being by controlling immigration and to protect the public, by deterring  foreign criminals and removing them from the UK. Following the recent changes, the new rules now properly reflect the view of the Government and Parliament as to how the balance should be struck between that public interest and individual’s </w:t>
      </w:r>
      <w:r w:rsidR="0008541F">
        <w:rPr>
          <w:rFonts w:ascii="Book Antiqua" w:hAnsi="Book Antiqua" w:cs="Arial"/>
        </w:rPr>
        <w:t>rights under Article 8 the Government expect</w:t>
      </w:r>
      <w:r>
        <w:rPr>
          <w:rFonts w:ascii="Book Antiqua" w:hAnsi="Book Antiqua" w:cs="Arial"/>
        </w:rPr>
        <w:t xml:space="preserve"> the Courts to have regard to that v</w:t>
      </w:r>
      <w:r w:rsidR="0008541F">
        <w:rPr>
          <w:rFonts w:ascii="Book Antiqua" w:hAnsi="Book Antiqua" w:cs="Arial"/>
        </w:rPr>
        <w:t>iew in reaching their decisions</w:t>
      </w:r>
      <w:r>
        <w:rPr>
          <w:rFonts w:ascii="Book Antiqua" w:hAnsi="Book Antiqua" w:cs="Arial"/>
        </w:rPr>
        <w:t>.</w:t>
      </w:r>
      <w:r w:rsidR="0008541F">
        <w:rPr>
          <w:rFonts w:ascii="Book Antiqua" w:hAnsi="Book Antiqua" w:cs="Arial"/>
        </w:rPr>
        <w:t>”</w:t>
      </w:r>
    </w:p>
    <w:p w:rsidR="00C02D20" w:rsidRDefault="00C02D20" w:rsidP="00C02D20">
      <w:pPr>
        <w:tabs>
          <w:tab w:val="left" w:pos="567"/>
        </w:tabs>
        <w:jc w:val="both"/>
        <w:rPr>
          <w:rFonts w:ascii="Book Antiqua" w:hAnsi="Book Antiqua" w:cs="Arial"/>
        </w:rPr>
      </w:pPr>
    </w:p>
    <w:p w:rsidR="00C02D20" w:rsidRDefault="00C02D20" w:rsidP="00C02D2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Secretary of State submits in response to the first question we posed  (“What difference, if any, do the recent changes  in the Immigration Rules have on the pre existing case law…as to the learning on Article 8?”) that the Rules make a substantial difference to the case</w:t>
      </w:r>
      <w:r w:rsidR="0008541F">
        <w:rPr>
          <w:rFonts w:ascii="Book Antiqua" w:hAnsi="Book Antiqua" w:cs="Arial"/>
        </w:rPr>
        <w:t xml:space="preserve"> law</w:t>
      </w:r>
      <w:r>
        <w:rPr>
          <w:rFonts w:ascii="Book Antiqua" w:hAnsi="Book Antiqua" w:cs="Arial"/>
        </w:rPr>
        <w:t xml:space="preserve"> and essentially restore the exceptional circumstances test  disapproved of by the House of  Lords in  </w:t>
      </w:r>
      <w:r w:rsidRPr="00C02D20">
        <w:rPr>
          <w:rFonts w:ascii="Book Antiqua" w:hAnsi="Book Antiqua" w:cs="Arial"/>
          <w:u w:val="single"/>
        </w:rPr>
        <w:t>Huang v SSHD</w:t>
      </w:r>
      <w:r>
        <w:rPr>
          <w:rFonts w:ascii="Book Antiqua" w:hAnsi="Book Antiqua" w:cs="Arial"/>
        </w:rPr>
        <w:t xml:space="preserve"> [2007] UKHL 11; [2007] 2 AC 167  because their Lordships were considering a set of immigration rules that did not spell out the UK’s response to Article 8 issues whereas the present rules before us do so.</w:t>
      </w:r>
    </w:p>
    <w:p w:rsidR="0008541F" w:rsidRDefault="0008541F" w:rsidP="0008541F">
      <w:pPr>
        <w:tabs>
          <w:tab w:val="left" w:pos="567"/>
        </w:tabs>
        <w:jc w:val="both"/>
        <w:rPr>
          <w:rFonts w:ascii="Book Antiqua" w:hAnsi="Book Antiqua" w:cs="Arial"/>
        </w:rPr>
      </w:pPr>
    </w:p>
    <w:p w:rsidR="00C02D20" w:rsidRDefault="00C02D20" w:rsidP="00C02D2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claimant, by contrast, in her reply to the Secretary of State’s writt</w:t>
      </w:r>
      <w:r w:rsidR="00EF7181">
        <w:rPr>
          <w:rFonts w:ascii="Book Antiqua" w:hAnsi="Book Antiqua" w:cs="Arial"/>
        </w:rPr>
        <w:t>en submission, states that the new r</w:t>
      </w:r>
      <w:r>
        <w:rPr>
          <w:rFonts w:ascii="Book Antiqua" w:hAnsi="Book Antiqua" w:cs="Arial"/>
        </w:rPr>
        <w:t xml:space="preserve">ules can make no difference to the case law binding upon us since that is the law relating to Article 8 made in pursuit of the legal duties imposed by the </w:t>
      </w:r>
      <w:r w:rsidR="0008541F">
        <w:rPr>
          <w:rFonts w:ascii="Book Antiqua" w:hAnsi="Book Antiqua" w:cs="Arial"/>
        </w:rPr>
        <w:t>Human Rights Act 1998, and the R</w:t>
      </w:r>
      <w:r>
        <w:rPr>
          <w:rFonts w:ascii="Book Antiqua" w:hAnsi="Book Antiqua" w:cs="Arial"/>
        </w:rPr>
        <w:t xml:space="preserve">ules, being only statements of executive policy do not have the force of law and cannot reverse </w:t>
      </w:r>
      <w:r w:rsidR="004B4A5B">
        <w:rPr>
          <w:rFonts w:ascii="Book Antiqua" w:hAnsi="Book Antiqua" w:cs="Arial"/>
        </w:rPr>
        <w:t>or repeal</w:t>
      </w:r>
      <w:r>
        <w:rPr>
          <w:rFonts w:ascii="Book Antiqua" w:hAnsi="Book Antiqua" w:cs="Arial"/>
        </w:rPr>
        <w:t xml:space="preserve"> authoritative judicial decisions.</w:t>
      </w:r>
    </w:p>
    <w:p w:rsidR="00C02D20" w:rsidRDefault="00C02D20" w:rsidP="00C02D20">
      <w:pPr>
        <w:tabs>
          <w:tab w:val="left" w:pos="567"/>
        </w:tabs>
        <w:jc w:val="both"/>
        <w:rPr>
          <w:rFonts w:ascii="Book Antiqua" w:hAnsi="Book Antiqua" w:cs="Arial"/>
        </w:rPr>
      </w:pPr>
    </w:p>
    <w:p w:rsidR="00496054" w:rsidRPr="00BA0A2F" w:rsidRDefault="00496054" w:rsidP="00C02D20">
      <w:pPr>
        <w:tabs>
          <w:tab w:val="left" w:pos="567"/>
        </w:tabs>
        <w:jc w:val="both"/>
        <w:rPr>
          <w:rFonts w:ascii="Book Antiqua" w:hAnsi="Book Antiqua" w:cs="Arial"/>
          <w:b/>
          <w:u w:val="single"/>
        </w:rPr>
      </w:pPr>
      <w:r w:rsidRPr="00BA0A2F">
        <w:rPr>
          <w:rFonts w:ascii="Book Antiqua" w:hAnsi="Book Antiqua" w:cs="Arial"/>
          <w:b/>
          <w:u w:val="single"/>
        </w:rPr>
        <w:t>Discussion</w:t>
      </w:r>
    </w:p>
    <w:p w:rsidR="00496054" w:rsidRDefault="00496054" w:rsidP="00C02D20">
      <w:pPr>
        <w:tabs>
          <w:tab w:val="left" w:pos="567"/>
        </w:tabs>
        <w:jc w:val="both"/>
        <w:rPr>
          <w:rFonts w:ascii="Book Antiqua" w:hAnsi="Book Antiqua" w:cs="Arial"/>
        </w:rPr>
      </w:pPr>
    </w:p>
    <w:p w:rsidR="004B4A5B" w:rsidRDefault="0008541F" w:rsidP="004B4A5B">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In our judgment neither of the rival submissions can be accepted</w:t>
      </w:r>
      <w:r w:rsidR="00BA0A2F">
        <w:rPr>
          <w:rFonts w:ascii="Book Antiqua" w:hAnsi="Book Antiqua" w:cs="Arial"/>
        </w:rPr>
        <w:t xml:space="preserve"> in full</w:t>
      </w:r>
      <w:r>
        <w:rPr>
          <w:rFonts w:ascii="Book Antiqua" w:hAnsi="Book Antiqua" w:cs="Arial"/>
        </w:rPr>
        <w:t>. We accept the claimant’s submiss</w:t>
      </w:r>
      <w:r w:rsidR="004B4A5B">
        <w:rPr>
          <w:rFonts w:ascii="Book Antiqua" w:hAnsi="Book Antiqua" w:cs="Arial"/>
        </w:rPr>
        <w:t>ion on the status of the rules,</w:t>
      </w:r>
      <w:r>
        <w:rPr>
          <w:rFonts w:ascii="Book Antiqua" w:hAnsi="Book Antiqua" w:cs="Arial"/>
        </w:rPr>
        <w:t xml:space="preserve"> </w:t>
      </w:r>
      <w:r w:rsidR="001710FF">
        <w:rPr>
          <w:rFonts w:ascii="Book Antiqua" w:hAnsi="Book Antiqua" w:cs="Arial"/>
        </w:rPr>
        <w:t>and accordingly agree that the r</w:t>
      </w:r>
      <w:r>
        <w:rPr>
          <w:rFonts w:ascii="Book Antiqua" w:hAnsi="Book Antiqua" w:cs="Arial"/>
        </w:rPr>
        <w:t xml:space="preserve">ules cannot over-ride </w:t>
      </w:r>
      <w:r w:rsidR="004B4A5B">
        <w:rPr>
          <w:rFonts w:ascii="Book Antiqua" w:hAnsi="Book Antiqua" w:cs="Arial"/>
        </w:rPr>
        <w:t>either the legal duty imposed by statute or the existing learning on that duty supplied by the higher courts, and (to the extent it is consistent with th</w:t>
      </w:r>
      <w:r>
        <w:rPr>
          <w:rFonts w:ascii="Book Antiqua" w:hAnsi="Book Antiqua" w:cs="Arial"/>
        </w:rPr>
        <w:t xml:space="preserve">at learning) the Upper Tribunal. However, </w:t>
      </w:r>
      <w:r w:rsidR="004B4A5B">
        <w:rPr>
          <w:rFonts w:ascii="Book Antiqua" w:hAnsi="Book Antiqua" w:cs="Arial"/>
        </w:rPr>
        <w:t xml:space="preserve">we do not accept the implicit </w:t>
      </w:r>
      <w:r>
        <w:rPr>
          <w:rFonts w:ascii="Book Antiqua" w:hAnsi="Book Antiqua" w:cs="Arial"/>
        </w:rPr>
        <w:t>submission</w:t>
      </w:r>
      <w:r w:rsidR="004B4A5B">
        <w:rPr>
          <w:rFonts w:ascii="Book Antiqua" w:hAnsi="Book Antiqua" w:cs="Arial"/>
        </w:rPr>
        <w:t xml:space="preserve"> that the </w:t>
      </w:r>
      <w:r>
        <w:rPr>
          <w:rFonts w:ascii="Book Antiqua" w:hAnsi="Book Antiqua" w:cs="Arial"/>
        </w:rPr>
        <w:t xml:space="preserve">new </w:t>
      </w:r>
      <w:r w:rsidR="004B4A5B">
        <w:rPr>
          <w:rFonts w:ascii="Book Antiqua" w:hAnsi="Book Antiqua" w:cs="Arial"/>
        </w:rPr>
        <w:t>rules are irrelevant to the Article 8 balance required by the law to be conducted.</w:t>
      </w:r>
    </w:p>
    <w:p w:rsidR="004B4A5B" w:rsidRDefault="004B4A5B" w:rsidP="004B4A5B">
      <w:pPr>
        <w:tabs>
          <w:tab w:val="left" w:pos="567"/>
        </w:tabs>
        <w:jc w:val="both"/>
        <w:rPr>
          <w:rFonts w:ascii="Book Antiqua" w:hAnsi="Book Antiqua" w:cs="Arial"/>
        </w:rPr>
      </w:pPr>
    </w:p>
    <w:p w:rsidR="0008541F" w:rsidRDefault="0008541F"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w:t>
      </w:r>
      <w:r w:rsidR="004B4A5B">
        <w:rPr>
          <w:rFonts w:ascii="Book Antiqua" w:hAnsi="Book Antiqua" w:cs="Arial"/>
        </w:rPr>
        <w:t>he Up</w:t>
      </w:r>
      <w:r>
        <w:rPr>
          <w:rFonts w:ascii="Book Antiqua" w:hAnsi="Book Antiqua" w:cs="Arial"/>
        </w:rPr>
        <w:t>per Tribunal has already observed</w:t>
      </w:r>
      <w:r w:rsidR="004B4A5B">
        <w:rPr>
          <w:rFonts w:ascii="Book Antiqua" w:hAnsi="Book Antiqua" w:cs="Arial"/>
        </w:rPr>
        <w:t xml:space="preserve"> in </w:t>
      </w:r>
      <w:r w:rsidR="00130A0C" w:rsidRPr="00130A0C">
        <w:rPr>
          <w:rFonts w:ascii="Book Antiqua" w:hAnsi="Book Antiqua" w:cs="Arial"/>
          <w:u w:val="single"/>
        </w:rPr>
        <w:t xml:space="preserve">MF (Article 8-new rules) </w:t>
      </w:r>
      <w:smartTag w:uri="urn:schemas-microsoft-com:office:smarttags" w:element="PlaceType">
        <w:r w:rsidR="00130A0C" w:rsidRPr="00130A0C">
          <w:rPr>
            <w:rFonts w:ascii="Book Antiqua" w:hAnsi="Book Antiqua" w:cs="Arial"/>
            <w:u w:val="single"/>
          </w:rPr>
          <w:t>Nigeria</w:t>
        </w:r>
      </w:smartTag>
      <w:r w:rsidR="00130A0C">
        <w:rPr>
          <w:rFonts w:ascii="Book Antiqua" w:hAnsi="Book Antiqua" w:cs="Arial"/>
        </w:rPr>
        <w:t xml:space="preserve"> (loc cit) and we agree </w:t>
      </w:r>
      <w:r w:rsidR="00EF7181">
        <w:rPr>
          <w:rFonts w:ascii="Book Antiqua" w:hAnsi="Book Antiqua" w:cs="Arial"/>
        </w:rPr>
        <w:t xml:space="preserve">that </w:t>
      </w:r>
      <w:r w:rsidR="00130A0C">
        <w:rPr>
          <w:rFonts w:ascii="Book Antiqua" w:hAnsi="Book Antiqua" w:cs="Arial"/>
        </w:rPr>
        <w:t xml:space="preserve">the rules are the rules. </w:t>
      </w:r>
      <w:r w:rsidR="00C33BFD">
        <w:rPr>
          <w:rFonts w:ascii="Book Antiqua" w:hAnsi="Book Antiqua" w:cs="Arial"/>
        </w:rPr>
        <w:t>They are in force and clearly apply to any decision made after 9 July 2012 as th</w:t>
      </w:r>
      <w:r w:rsidR="00130A0C">
        <w:rPr>
          <w:rFonts w:ascii="Book Antiqua" w:hAnsi="Book Antiqua" w:cs="Arial"/>
        </w:rPr>
        <w:t>is one was</w:t>
      </w:r>
      <w:r>
        <w:rPr>
          <w:rFonts w:ascii="Book Antiqua" w:hAnsi="Book Antiqua" w:cs="Arial"/>
        </w:rPr>
        <w:t>, u</w:t>
      </w:r>
      <w:r w:rsidR="00EF7181">
        <w:rPr>
          <w:rFonts w:ascii="Book Antiqua" w:hAnsi="Book Antiqua" w:cs="Arial"/>
        </w:rPr>
        <w:t>nless and until they are struck</w:t>
      </w:r>
      <w:r>
        <w:rPr>
          <w:rFonts w:ascii="Book Antiqua" w:hAnsi="Book Antiqua" w:cs="Arial"/>
        </w:rPr>
        <w:t xml:space="preserve"> down as being unlawful or irrational</w:t>
      </w:r>
      <w:r w:rsidR="00130A0C">
        <w:rPr>
          <w:rFonts w:ascii="Book Antiqua" w:hAnsi="Book Antiqua" w:cs="Arial"/>
        </w:rPr>
        <w:t xml:space="preserve">. </w:t>
      </w:r>
    </w:p>
    <w:p w:rsidR="0008541F" w:rsidRDefault="0008541F" w:rsidP="0008541F">
      <w:pPr>
        <w:tabs>
          <w:tab w:val="left" w:pos="567"/>
        </w:tabs>
        <w:jc w:val="both"/>
        <w:rPr>
          <w:rFonts w:ascii="Book Antiqua" w:hAnsi="Book Antiqua" w:cs="Arial"/>
        </w:rPr>
      </w:pPr>
    </w:p>
    <w:p w:rsidR="006F3FBA" w:rsidRDefault="001F40C2"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status of</w:t>
      </w:r>
      <w:r w:rsidR="00130A0C">
        <w:rPr>
          <w:rFonts w:ascii="Book Antiqua" w:hAnsi="Book Antiqua" w:cs="Arial"/>
        </w:rPr>
        <w:t xml:space="preserve"> </w:t>
      </w:r>
      <w:r>
        <w:rPr>
          <w:rFonts w:ascii="Book Antiqua" w:hAnsi="Book Antiqua" w:cs="Arial"/>
        </w:rPr>
        <w:t xml:space="preserve"> immigration </w:t>
      </w:r>
      <w:r w:rsidR="00130A0C">
        <w:rPr>
          <w:rFonts w:ascii="Book Antiqua" w:hAnsi="Book Antiqua" w:cs="Arial"/>
        </w:rPr>
        <w:t>r</w:t>
      </w:r>
      <w:r w:rsidR="00C33BFD">
        <w:rPr>
          <w:rFonts w:ascii="Book Antiqua" w:hAnsi="Book Antiqua" w:cs="Arial"/>
        </w:rPr>
        <w:t xml:space="preserve">ules is well known and was recently examined by the House of Lords in </w:t>
      </w:r>
      <w:r w:rsidR="00C33BFD" w:rsidRPr="000E38A0">
        <w:rPr>
          <w:rFonts w:ascii="Book Antiqua" w:hAnsi="Book Antiqua" w:cs="Arial"/>
          <w:u w:val="single"/>
        </w:rPr>
        <w:t>Odelola v SSHD</w:t>
      </w:r>
      <w:r w:rsidR="00C33BFD">
        <w:rPr>
          <w:rFonts w:ascii="Book Antiqua" w:hAnsi="Book Antiqua" w:cs="Arial"/>
        </w:rPr>
        <w:t xml:space="preserve"> [</w:t>
      </w:r>
      <w:r w:rsidR="00130A0C">
        <w:rPr>
          <w:rFonts w:ascii="Book Antiqua" w:hAnsi="Book Antiqua" w:cs="Arial"/>
        </w:rPr>
        <w:t>2009] UKHL 25 [2009] 1 WLR 1230, from which t</w:t>
      </w:r>
      <w:r w:rsidR="00C33BFD">
        <w:rPr>
          <w:rFonts w:ascii="Book Antiqua" w:hAnsi="Book Antiqua" w:cs="Arial"/>
        </w:rPr>
        <w:t>he following points may be  summarised:</w:t>
      </w:r>
    </w:p>
    <w:p w:rsidR="006F3FBA" w:rsidRDefault="006F3FBA" w:rsidP="006F3FBA">
      <w:pPr>
        <w:tabs>
          <w:tab w:val="left" w:pos="567"/>
        </w:tabs>
        <w:jc w:val="both"/>
        <w:rPr>
          <w:rFonts w:ascii="Book Antiqua" w:hAnsi="Book Antiqua" w:cs="Arial"/>
        </w:rPr>
      </w:pPr>
    </w:p>
    <w:p w:rsidR="006F3FBA" w:rsidRDefault="0081312A" w:rsidP="0081312A">
      <w:pPr>
        <w:tabs>
          <w:tab w:val="num" w:pos="2520"/>
        </w:tabs>
        <w:ind w:left="1260"/>
        <w:jc w:val="both"/>
        <w:rPr>
          <w:rFonts w:ascii="Book Antiqua" w:hAnsi="Book Antiqua" w:cs="Arial"/>
        </w:rPr>
      </w:pPr>
      <w:r>
        <w:rPr>
          <w:rFonts w:ascii="Book Antiqua" w:hAnsi="Book Antiqua" w:cs="Arial"/>
        </w:rPr>
        <w:t xml:space="preserve">(i) </w:t>
      </w:r>
      <w:r w:rsidR="006F3FBA">
        <w:rPr>
          <w:rFonts w:ascii="Book Antiqua" w:hAnsi="Book Antiqua" w:cs="Arial"/>
        </w:rPr>
        <w:t xml:space="preserve">The rules are not subordinate legislation but detailed statements by a minister of the Crown as to how the Crown proposes to exercises its executive power to control immigration.  They are essentially executive not </w:t>
      </w:r>
      <w:r w:rsidR="0008541F">
        <w:rPr>
          <w:rFonts w:ascii="Book Antiqua" w:hAnsi="Book Antiqua" w:cs="Arial"/>
        </w:rPr>
        <w:t>legislative (</w:t>
      </w:r>
      <w:r w:rsidR="00EF7181">
        <w:rPr>
          <w:rFonts w:ascii="Book Antiqua" w:hAnsi="Book Antiqua" w:cs="Arial"/>
        </w:rPr>
        <w:t xml:space="preserve">per Lord Hoffman at [6]; </w:t>
      </w:r>
      <w:r w:rsidR="006F3FBA">
        <w:rPr>
          <w:rFonts w:ascii="Book Antiqua" w:hAnsi="Book Antiqua" w:cs="Arial"/>
        </w:rPr>
        <w:t xml:space="preserve">Lord Brown </w:t>
      </w:r>
      <w:r w:rsidR="00EF7181">
        <w:rPr>
          <w:rFonts w:ascii="Book Antiqua" w:hAnsi="Book Antiqua" w:cs="Arial"/>
        </w:rPr>
        <w:t>at [</w:t>
      </w:r>
      <w:r w:rsidR="006F3FBA">
        <w:rPr>
          <w:rFonts w:ascii="Book Antiqua" w:hAnsi="Book Antiqua" w:cs="Arial"/>
        </w:rPr>
        <w:t>17], [34], [35</w:t>
      </w:r>
      <w:r w:rsidR="00EF7181">
        <w:rPr>
          <w:rFonts w:ascii="Book Antiqua" w:hAnsi="Book Antiqua" w:cs="Arial"/>
        </w:rPr>
        <w:t>]).</w:t>
      </w:r>
    </w:p>
    <w:p w:rsidR="006F3FBA" w:rsidRDefault="006F3FBA" w:rsidP="006F3FBA">
      <w:pPr>
        <w:tabs>
          <w:tab w:val="left" w:pos="0"/>
          <w:tab w:val="num" w:pos="1800"/>
        </w:tabs>
        <w:ind w:left="2187" w:hanging="1287"/>
        <w:jc w:val="both"/>
        <w:rPr>
          <w:rFonts w:ascii="Book Antiqua" w:hAnsi="Book Antiqua" w:cs="Arial"/>
        </w:rPr>
      </w:pPr>
      <w:r>
        <w:rPr>
          <w:rFonts w:ascii="Book Antiqua" w:hAnsi="Book Antiqua" w:cs="Arial"/>
        </w:rPr>
        <w:t xml:space="preserve"> </w:t>
      </w:r>
    </w:p>
    <w:p w:rsidR="006F3FBA" w:rsidRDefault="0081312A" w:rsidP="0081312A">
      <w:pPr>
        <w:tabs>
          <w:tab w:val="left" w:pos="0"/>
          <w:tab w:val="num" w:pos="2940"/>
        </w:tabs>
        <w:ind w:left="1260"/>
        <w:jc w:val="both"/>
        <w:rPr>
          <w:rFonts w:ascii="Book Antiqua" w:hAnsi="Book Antiqua" w:cs="Arial"/>
        </w:rPr>
      </w:pPr>
      <w:r>
        <w:rPr>
          <w:rFonts w:ascii="Book Antiqua" w:hAnsi="Book Antiqua" w:cs="Arial"/>
        </w:rPr>
        <w:t xml:space="preserve">(ii) </w:t>
      </w:r>
      <w:r w:rsidR="006F3FBA">
        <w:rPr>
          <w:rFonts w:ascii="Book Antiqua" w:hAnsi="Book Antiqua" w:cs="Arial"/>
        </w:rPr>
        <w:t>The rules are those of the Secretary of State not Parliament albeit that they are laid before Parliament (Lord Brown at [27]).</w:t>
      </w:r>
    </w:p>
    <w:p w:rsidR="006F3FBA" w:rsidRDefault="0081312A" w:rsidP="0081312A">
      <w:pPr>
        <w:tabs>
          <w:tab w:val="left" w:pos="0"/>
          <w:tab w:val="num" w:pos="2940"/>
        </w:tabs>
        <w:spacing w:before="240"/>
        <w:ind w:left="1260"/>
        <w:jc w:val="both"/>
        <w:rPr>
          <w:rFonts w:ascii="Book Antiqua" w:hAnsi="Book Antiqua" w:cs="Arial"/>
        </w:rPr>
      </w:pPr>
      <w:r>
        <w:rPr>
          <w:rFonts w:ascii="Book Antiqua" w:hAnsi="Book Antiqua" w:cs="Arial"/>
        </w:rPr>
        <w:t xml:space="preserve">(iii) </w:t>
      </w:r>
      <w:r w:rsidR="006F3FBA">
        <w:rPr>
          <w:rFonts w:ascii="Book Antiqua" w:hAnsi="Book Antiqua" w:cs="Arial"/>
        </w:rPr>
        <w:t>The rules nevertheless create legal rights and effects and provide a ground of appeal under s. 84 (1) (a) Nationality Im</w:t>
      </w:r>
      <w:r w:rsidR="00EF7181">
        <w:rPr>
          <w:rFonts w:ascii="Book Antiqua" w:hAnsi="Book Antiqua" w:cs="Arial"/>
        </w:rPr>
        <w:t>migration and Asylum Act 2002, ‘</w:t>
      </w:r>
      <w:r w:rsidR="006F3FBA">
        <w:rPr>
          <w:rFonts w:ascii="Book Antiqua" w:hAnsi="Book Antiqua" w:cs="Arial"/>
        </w:rPr>
        <w:t>that the decision is not in accordance with immigration rules</w:t>
      </w:r>
      <w:r w:rsidR="00EF7181">
        <w:rPr>
          <w:rFonts w:ascii="Book Antiqua" w:hAnsi="Book Antiqua" w:cs="Arial"/>
        </w:rPr>
        <w:t>.’</w:t>
      </w:r>
    </w:p>
    <w:p w:rsidR="006F3FBA" w:rsidRDefault="0081312A" w:rsidP="0081312A">
      <w:pPr>
        <w:tabs>
          <w:tab w:val="left" w:pos="0"/>
          <w:tab w:val="num" w:pos="2940"/>
        </w:tabs>
        <w:spacing w:before="240"/>
        <w:ind w:left="1260"/>
        <w:jc w:val="both"/>
        <w:rPr>
          <w:rFonts w:ascii="Book Antiqua" w:hAnsi="Book Antiqua" w:cs="Arial"/>
        </w:rPr>
      </w:pPr>
      <w:r>
        <w:rPr>
          <w:rFonts w:ascii="Book Antiqua" w:hAnsi="Book Antiqua" w:cs="Arial"/>
        </w:rPr>
        <w:t xml:space="preserve">(iv) </w:t>
      </w:r>
      <w:r w:rsidR="006F3FBA">
        <w:rPr>
          <w:rFonts w:ascii="Book Antiqua" w:hAnsi="Book Antiqua" w:cs="Arial"/>
        </w:rPr>
        <w:t xml:space="preserve">When deciding appeals on this ground judges of this and the First-tier </w:t>
      </w:r>
      <w:r w:rsidR="00C20C5A">
        <w:rPr>
          <w:rFonts w:ascii="Book Antiqua" w:hAnsi="Book Antiqua" w:cs="Arial"/>
        </w:rPr>
        <w:t>Tribunal</w:t>
      </w:r>
      <w:r w:rsidR="006F3FBA">
        <w:rPr>
          <w:rFonts w:ascii="Book Antiqua" w:hAnsi="Book Antiqua" w:cs="Arial"/>
        </w:rPr>
        <w:t xml:space="preserve"> are bound by and must apply the rules (Lord Hoffman a</w:t>
      </w:r>
      <w:r w:rsidR="00EF7181">
        <w:rPr>
          <w:rFonts w:ascii="Book Antiqua" w:hAnsi="Book Antiqua" w:cs="Arial"/>
        </w:rPr>
        <w:t xml:space="preserve">t [6], Lord Brown at [27], </w:t>
      </w:r>
      <w:smartTag w:uri="urn:schemas-microsoft-com:office:smarttags" w:element="PlaceType">
        <w:r w:rsidR="00EF7181">
          <w:rPr>
            <w:rFonts w:ascii="Book Antiqua" w:hAnsi="Book Antiqua" w:cs="Arial"/>
          </w:rPr>
          <w:t xml:space="preserve">Lord </w:t>
        </w:r>
        <w:r w:rsidR="006F3FBA">
          <w:rPr>
            <w:rFonts w:ascii="Book Antiqua" w:hAnsi="Book Antiqua" w:cs="Arial"/>
          </w:rPr>
          <w:t>Neuberger</w:t>
        </w:r>
      </w:smartTag>
      <w:r w:rsidR="006F3FBA">
        <w:rPr>
          <w:rFonts w:ascii="Book Antiqua" w:hAnsi="Book Antiqua" w:cs="Arial"/>
        </w:rPr>
        <w:t xml:space="preserve"> at [51]</w:t>
      </w:r>
      <w:r w:rsidR="00EF7181">
        <w:rPr>
          <w:rFonts w:ascii="Book Antiqua" w:hAnsi="Book Antiqua" w:cs="Arial"/>
        </w:rPr>
        <w:t>)</w:t>
      </w:r>
      <w:r w:rsidR="006F3FBA">
        <w:rPr>
          <w:rFonts w:ascii="Book Antiqua" w:hAnsi="Book Antiqua" w:cs="Arial"/>
        </w:rPr>
        <w:t xml:space="preserve">. To this extent as the Tribunal acknowledged in </w:t>
      </w:r>
      <w:r w:rsidR="006F3FBA" w:rsidRPr="00130A0C">
        <w:rPr>
          <w:rFonts w:ascii="Book Antiqua" w:hAnsi="Book Antiqua" w:cs="Arial"/>
          <w:u w:val="single"/>
        </w:rPr>
        <w:t>MF</w:t>
      </w:r>
      <w:r w:rsidR="006F3FBA">
        <w:rPr>
          <w:rFonts w:ascii="Book Antiqua" w:hAnsi="Book Antiqua" w:cs="Arial"/>
        </w:rPr>
        <w:t xml:space="preserve">  they have the force of law, not because they are law, but because the law </w:t>
      </w:r>
      <w:r w:rsidR="0008541F">
        <w:rPr>
          <w:rFonts w:ascii="Book Antiqua" w:hAnsi="Book Antiqua" w:cs="Arial"/>
        </w:rPr>
        <w:t xml:space="preserve">relating to </w:t>
      </w:r>
      <w:r w:rsidR="006F3FBA">
        <w:rPr>
          <w:rFonts w:ascii="Book Antiqua" w:hAnsi="Book Antiqua" w:cs="Arial"/>
        </w:rPr>
        <w:t xml:space="preserve"> immigration appeals affords them a binding status for certain purposes and precludes judges exercising a discretion differently from the Secretar</w:t>
      </w:r>
      <w:r w:rsidR="00EF7181">
        <w:rPr>
          <w:rFonts w:ascii="Book Antiqua" w:hAnsi="Book Antiqua" w:cs="Arial"/>
        </w:rPr>
        <w:t xml:space="preserve">y of State </w:t>
      </w:r>
      <w:r w:rsidR="006F3FBA">
        <w:rPr>
          <w:rFonts w:ascii="Book Antiqua" w:hAnsi="Book Antiqua" w:cs="Arial"/>
        </w:rPr>
        <w:t>other than a discretion conferred under the rules (s.84 (1) (f)</w:t>
      </w:r>
      <w:r w:rsidR="00567F9E">
        <w:rPr>
          <w:rFonts w:ascii="Book Antiqua" w:hAnsi="Book Antiqua" w:cs="Arial"/>
        </w:rPr>
        <w:t>)</w:t>
      </w:r>
      <w:r w:rsidR="0008541F">
        <w:rPr>
          <w:rFonts w:ascii="Book Antiqua" w:hAnsi="Book Antiqua" w:cs="Arial"/>
        </w:rPr>
        <w:t>.</w:t>
      </w:r>
    </w:p>
    <w:p w:rsidR="006F3FBA" w:rsidRDefault="006F3FBA" w:rsidP="006F3FBA">
      <w:pPr>
        <w:tabs>
          <w:tab w:val="left" w:pos="567"/>
        </w:tabs>
        <w:jc w:val="both"/>
        <w:rPr>
          <w:rFonts w:ascii="Book Antiqua" w:hAnsi="Book Antiqua" w:cs="Arial"/>
        </w:rPr>
      </w:pPr>
    </w:p>
    <w:p w:rsidR="00A308D8" w:rsidRDefault="006F3FBA"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We then turn to the separate question as to how the </w:t>
      </w:r>
      <w:r w:rsidR="0008541F">
        <w:rPr>
          <w:rFonts w:ascii="Book Antiqua" w:hAnsi="Book Antiqua" w:cs="Arial"/>
        </w:rPr>
        <w:t xml:space="preserve">terms of the </w:t>
      </w:r>
      <w:r w:rsidR="00496054">
        <w:rPr>
          <w:rFonts w:ascii="Book Antiqua" w:hAnsi="Book Antiqua" w:cs="Arial"/>
        </w:rPr>
        <w:t xml:space="preserve">Immigration </w:t>
      </w:r>
      <w:r w:rsidR="0008541F">
        <w:rPr>
          <w:rFonts w:ascii="Book Antiqua" w:hAnsi="Book Antiqua" w:cs="Arial"/>
        </w:rPr>
        <w:t>R</w:t>
      </w:r>
      <w:r>
        <w:rPr>
          <w:rFonts w:ascii="Book Antiqua" w:hAnsi="Book Antiqua" w:cs="Arial"/>
        </w:rPr>
        <w:t>ules can influence an assessment of whether an immigration decision is in accordance wit</w:t>
      </w:r>
      <w:r w:rsidR="00A308D8">
        <w:rPr>
          <w:rFonts w:ascii="Book Antiqua" w:hAnsi="Book Antiqua" w:cs="Arial"/>
        </w:rPr>
        <w:t xml:space="preserve">h the law, either generally </w:t>
      </w:r>
      <w:r>
        <w:rPr>
          <w:rFonts w:ascii="Book Antiqua" w:hAnsi="Book Antiqua" w:cs="Arial"/>
        </w:rPr>
        <w:t>(s. 84 (1)(e)</w:t>
      </w:r>
      <w:r w:rsidR="00A308D8">
        <w:rPr>
          <w:rFonts w:ascii="Book Antiqua" w:hAnsi="Book Antiqua" w:cs="Arial"/>
        </w:rPr>
        <w:t xml:space="preserve"> NIAA 2002) or</w:t>
      </w:r>
      <w:r>
        <w:rPr>
          <w:rFonts w:ascii="Book Antiqua" w:hAnsi="Book Antiqua" w:cs="Arial"/>
        </w:rPr>
        <w:t xml:space="preserve"> under s.6 of the Human Rights Act </w:t>
      </w:r>
      <w:r w:rsidR="00A308D8">
        <w:rPr>
          <w:rFonts w:ascii="Book Antiqua" w:hAnsi="Book Antiqua" w:cs="Arial"/>
        </w:rPr>
        <w:t xml:space="preserve">and whether the decision is </w:t>
      </w:r>
      <w:r>
        <w:rPr>
          <w:rFonts w:ascii="Book Antiqua" w:hAnsi="Book Antiqua" w:cs="Arial"/>
        </w:rPr>
        <w:t>compatible with the appellant’s C</w:t>
      </w:r>
      <w:r w:rsidR="00A308D8">
        <w:rPr>
          <w:rFonts w:ascii="Book Antiqua" w:hAnsi="Book Antiqua" w:cs="Arial"/>
        </w:rPr>
        <w:t>onvention rights (s. 84 (1) (c</w:t>
      </w:r>
      <w:r>
        <w:rPr>
          <w:rFonts w:ascii="Book Antiqua" w:hAnsi="Book Antiqua" w:cs="Arial"/>
        </w:rPr>
        <w:t xml:space="preserve">). </w:t>
      </w:r>
    </w:p>
    <w:p w:rsidR="00A308D8" w:rsidRDefault="00A308D8" w:rsidP="00A308D8">
      <w:pPr>
        <w:tabs>
          <w:tab w:val="left" w:pos="567"/>
        </w:tabs>
        <w:jc w:val="both"/>
        <w:rPr>
          <w:rFonts w:ascii="Book Antiqua" w:hAnsi="Book Antiqua" w:cs="Arial"/>
        </w:rPr>
      </w:pPr>
    </w:p>
    <w:p w:rsidR="00A308D8" w:rsidRDefault="00A308D8"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It is obvious that respect for a claim</w:t>
      </w:r>
      <w:r w:rsidR="006F3FBA">
        <w:rPr>
          <w:rFonts w:ascii="Book Antiqua" w:hAnsi="Book Antiqua" w:cs="Arial"/>
        </w:rPr>
        <w:t>ant’s family and private life under Article 8 (1) is subject to proportionate and justified interferences in pursuit of a leg</w:t>
      </w:r>
      <w:r>
        <w:rPr>
          <w:rFonts w:ascii="Book Antiqua" w:hAnsi="Book Antiqua" w:cs="Arial"/>
        </w:rPr>
        <w:t>itimate aim under Article 8(2).</w:t>
      </w:r>
    </w:p>
    <w:p w:rsidR="00A308D8" w:rsidRDefault="00A308D8" w:rsidP="00A308D8">
      <w:pPr>
        <w:tabs>
          <w:tab w:val="left" w:pos="567"/>
        </w:tabs>
        <w:jc w:val="both"/>
        <w:rPr>
          <w:rFonts w:ascii="Book Antiqua" w:hAnsi="Book Antiqua" w:cs="Arial"/>
        </w:rPr>
      </w:pPr>
    </w:p>
    <w:p w:rsidR="00A308D8" w:rsidRDefault="006F3FBA"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There is nothing unlawful about the Secretary of State having published policies and practices designed to give effect to Convention obligations or aspects of the public interest considered to be weighty reasons justifying interference. Students of the history of immigration law and practice over the last 30 years will be familiar with a whole host of policies sometimes outside the rules and sometimes within them said to be designed to reflect Article 8 issues with respect to marriage by those with no leave to remain, serious criminal offending, the impact of removal on children, the period of irregular residence giving rise to a presumption of regularisation and so on. </w:t>
      </w:r>
    </w:p>
    <w:p w:rsidR="00A308D8" w:rsidRDefault="00A308D8" w:rsidP="00A308D8">
      <w:pPr>
        <w:tabs>
          <w:tab w:val="left" w:pos="567"/>
        </w:tabs>
        <w:jc w:val="both"/>
        <w:rPr>
          <w:rFonts w:ascii="Book Antiqua" w:hAnsi="Book Antiqua" w:cs="Arial"/>
        </w:rPr>
      </w:pPr>
    </w:p>
    <w:p w:rsidR="00BD18B9" w:rsidRDefault="006F3FBA"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Many of these </w:t>
      </w:r>
      <w:r w:rsidR="00A308D8">
        <w:rPr>
          <w:rFonts w:ascii="Book Antiqua" w:hAnsi="Book Antiqua" w:cs="Arial"/>
        </w:rPr>
        <w:t xml:space="preserve">previous </w:t>
      </w:r>
      <w:r>
        <w:rPr>
          <w:rFonts w:ascii="Book Antiqua" w:hAnsi="Book Antiqua" w:cs="Arial"/>
        </w:rPr>
        <w:t>policy statements had been withdrawn at the time that the House of Lor</w:t>
      </w:r>
      <w:r w:rsidR="00C22C4D">
        <w:rPr>
          <w:rFonts w:ascii="Book Antiqua" w:hAnsi="Book Antiqua" w:cs="Arial"/>
        </w:rPr>
        <w:t xml:space="preserve">ds considered the case of </w:t>
      </w:r>
      <w:r w:rsidR="00C22C4D" w:rsidRPr="00A308D8">
        <w:rPr>
          <w:rFonts w:ascii="Book Antiqua" w:hAnsi="Book Antiqua" w:cs="Arial"/>
          <w:u w:val="single"/>
        </w:rPr>
        <w:t>Huang</w:t>
      </w:r>
      <w:r w:rsidR="00A308D8">
        <w:rPr>
          <w:rFonts w:ascii="Book Antiqua" w:hAnsi="Book Antiqua" w:cs="Arial"/>
        </w:rPr>
        <w:t xml:space="preserve"> (above). In that case the </w:t>
      </w:r>
      <w:r w:rsidR="00C22C4D">
        <w:rPr>
          <w:rFonts w:ascii="Book Antiqua" w:hAnsi="Book Antiqua" w:cs="Arial"/>
        </w:rPr>
        <w:t xml:space="preserve">submissions advanced </w:t>
      </w:r>
      <w:r w:rsidR="00A308D8">
        <w:rPr>
          <w:rFonts w:ascii="Book Antiqua" w:hAnsi="Book Antiqua" w:cs="Arial"/>
        </w:rPr>
        <w:t>on beh</w:t>
      </w:r>
      <w:r w:rsidR="00C20C5A">
        <w:rPr>
          <w:rFonts w:ascii="Book Antiqua" w:hAnsi="Book Antiqua" w:cs="Arial"/>
        </w:rPr>
        <w:t>alf of the migrants include the</w:t>
      </w:r>
      <w:r w:rsidR="00A308D8">
        <w:rPr>
          <w:rFonts w:ascii="Book Antiqua" w:hAnsi="Book Antiqua" w:cs="Arial"/>
        </w:rPr>
        <w:t xml:space="preserve"> fact </w:t>
      </w:r>
      <w:r w:rsidR="00C20C5A">
        <w:rPr>
          <w:rFonts w:ascii="Book Antiqua" w:hAnsi="Book Antiqua" w:cs="Arial"/>
        </w:rPr>
        <w:t xml:space="preserve">that </w:t>
      </w:r>
      <w:r w:rsidR="00C22C4D">
        <w:rPr>
          <w:rFonts w:ascii="Book Antiqua" w:hAnsi="Book Antiqua" w:cs="Arial"/>
        </w:rPr>
        <w:t xml:space="preserve">the </w:t>
      </w:r>
      <w:r w:rsidR="00A308D8">
        <w:rPr>
          <w:rFonts w:ascii="Book Antiqua" w:hAnsi="Book Antiqua" w:cs="Arial"/>
        </w:rPr>
        <w:t>Immigration Rules</w:t>
      </w:r>
      <w:r w:rsidR="00C22C4D">
        <w:rPr>
          <w:rFonts w:ascii="Book Antiqua" w:hAnsi="Book Antiqua" w:cs="Arial"/>
        </w:rPr>
        <w:t xml:space="preserve"> had not been amended to incorporate all classes of human rights claim that may be recog</w:t>
      </w:r>
      <w:r w:rsidR="00A308D8">
        <w:rPr>
          <w:rFonts w:ascii="Book Antiqua" w:hAnsi="Book Antiqua" w:cs="Arial"/>
        </w:rPr>
        <w:t>nised under Article 8 (see the Law R</w:t>
      </w:r>
      <w:r w:rsidR="00C22C4D">
        <w:rPr>
          <w:rFonts w:ascii="Book Antiqua" w:hAnsi="Book Antiqua" w:cs="Arial"/>
        </w:rPr>
        <w:t xml:space="preserve">eporter’s summary of the </w:t>
      </w:r>
      <w:r w:rsidR="00A308D8">
        <w:rPr>
          <w:rFonts w:ascii="Book Antiqua" w:hAnsi="Book Antiqua" w:cs="Arial"/>
        </w:rPr>
        <w:t xml:space="preserve">submissions </w:t>
      </w:r>
      <w:r w:rsidR="00C22C4D">
        <w:rPr>
          <w:rFonts w:ascii="Book Antiqua" w:hAnsi="Book Antiqua" w:cs="Arial"/>
        </w:rPr>
        <w:t xml:space="preserve">at </w:t>
      </w:r>
      <w:r w:rsidR="00F94C3B">
        <w:rPr>
          <w:rFonts w:ascii="Book Antiqua" w:hAnsi="Book Antiqua" w:cs="Arial"/>
        </w:rPr>
        <w:t xml:space="preserve">179 A-C); </w:t>
      </w:r>
      <w:r w:rsidR="001F40C2">
        <w:rPr>
          <w:rFonts w:ascii="Book Antiqua" w:hAnsi="Book Antiqua" w:cs="Arial"/>
        </w:rPr>
        <w:t>b</w:t>
      </w:r>
      <w:r w:rsidR="00A308D8">
        <w:rPr>
          <w:rFonts w:ascii="Book Antiqua" w:hAnsi="Book Antiqua" w:cs="Arial"/>
        </w:rPr>
        <w:t>y contrast</w:t>
      </w:r>
      <w:r w:rsidR="00567F9E">
        <w:rPr>
          <w:rFonts w:ascii="Book Antiqua" w:hAnsi="Book Antiqua" w:cs="Arial"/>
        </w:rPr>
        <w:t>,</w:t>
      </w:r>
      <w:r w:rsidR="00A308D8">
        <w:rPr>
          <w:rFonts w:ascii="Book Antiqua" w:hAnsi="Book Antiqua" w:cs="Arial"/>
        </w:rPr>
        <w:t xml:space="preserve"> where </w:t>
      </w:r>
      <w:r w:rsidR="00567F9E">
        <w:rPr>
          <w:rFonts w:ascii="Book Antiqua" w:hAnsi="Book Antiqua" w:cs="Arial"/>
        </w:rPr>
        <w:t>there was a</w:t>
      </w:r>
      <w:r w:rsidR="00C22C4D">
        <w:rPr>
          <w:rFonts w:ascii="Book Antiqua" w:hAnsi="Book Antiqua" w:cs="Arial"/>
        </w:rPr>
        <w:t xml:space="preserve"> </w:t>
      </w:r>
      <w:r w:rsidR="00A308D8">
        <w:rPr>
          <w:rFonts w:ascii="Book Antiqua" w:hAnsi="Book Antiqua" w:cs="Arial"/>
        </w:rPr>
        <w:t xml:space="preserve">relevant </w:t>
      </w:r>
      <w:r w:rsidR="00C22C4D">
        <w:rPr>
          <w:rFonts w:ascii="Book Antiqua" w:hAnsi="Book Antiqua" w:cs="Arial"/>
        </w:rPr>
        <w:t>stat</w:t>
      </w:r>
      <w:r w:rsidR="00BD18B9">
        <w:rPr>
          <w:rFonts w:ascii="Book Antiqua" w:hAnsi="Book Antiqua" w:cs="Arial"/>
        </w:rPr>
        <w:t>ement of policy</w:t>
      </w:r>
      <w:r w:rsidR="00567F9E">
        <w:rPr>
          <w:rFonts w:ascii="Book Antiqua" w:hAnsi="Book Antiqua" w:cs="Arial"/>
        </w:rPr>
        <w:t>,</w:t>
      </w:r>
      <w:r w:rsidR="00BD18B9">
        <w:rPr>
          <w:rFonts w:ascii="Book Antiqua" w:hAnsi="Book Antiqua" w:cs="Arial"/>
        </w:rPr>
        <w:t xml:space="preserve"> appropriate weight could be afforded to it (178 H). </w:t>
      </w:r>
    </w:p>
    <w:p w:rsidR="00BD18B9" w:rsidRDefault="00BD18B9" w:rsidP="00BD18B9">
      <w:pPr>
        <w:tabs>
          <w:tab w:val="left" w:pos="567"/>
        </w:tabs>
        <w:jc w:val="both"/>
        <w:rPr>
          <w:rFonts w:ascii="Book Antiqua" w:hAnsi="Book Antiqua" w:cs="Arial"/>
        </w:rPr>
      </w:pPr>
    </w:p>
    <w:p w:rsidR="00BD18B9" w:rsidRDefault="00BD18B9" w:rsidP="006F3F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Lord Bingham giving the judgment of the  Appellate Committee at [16] in a passage relied on by the Secretary of State in her written submissions</w:t>
      </w:r>
      <w:r w:rsidR="00A308D8">
        <w:rPr>
          <w:rFonts w:ascii="Book Antiqua" w:hAnsi="Book Antiqua" w:cs="Arial"/>
        </w:rPr>
        <w:t xml:space="preserve"> in the present appeal</w:t>
      </w:r>
      <w:r w:rsidR="001F40C2">
        <w:rPr>
          <w:rFonts w:ascii="Book Antiqua" w:hAnsi="Book Antiqua" w:cs="Arial"/>
        </w:rPr>
        <w:t>, noted:</w:t>
      </w:r>
    </w:p>
    <w:p w:rsidR="00D2334F" w:rsidRDefault="00D2334F" w:rsidP="00D2334F">
      <w:pPr>
        <w:tabs>
          <w:tab w:val="left" w:pos="567"/>
        </w:tabs>
        <w:jc w:val="both"/>
        <w:rPr>
          <w:rFonts w:ascii="Book Antiqua" w:hAnsi="Book Antiqua" w:cs="Arial"/>
        </w:rPr>
      </w:pPr>
    </w:p>
    <w:p w:rsidR="006F3FBA" w:rsidRDefault="00A308D8" w:rsidP="00BD18B9">
      <w:pPr>
        <w:tabs>
          <w:tab w:val="left" w:pos="567"/>
        </w:tabs>
        <w:ind w:left="1134"/>
        <w:jc w:val="both"/>
        <w:rPr>
          <w:rFonts w:ascii="Book Antiqua" w:hAnsi="Book Antiqua" w:cs="Arial"/>
        </w:rPr>
      </w:pPr>
      <w:r>
        <w:rPr>
          <w:rFonts w:ascii="Book Antiqua" w:hAnsi="Book Antiqua" w:cs="Arial"/>
        </w:rPr>
        <w:t>“T</w:t>
      </w:r>
      <w:r w:rsidR="00BD18B9">
        <w:rPr>
          <w:rFonts w:ascii="Book Antiqua" w:hAnsi="Book Antiqua" w:cs="Arial"/>
        </w:rPr>
        <w:t xml:space="preserve">he general administrative desirability of applying known rules if a system of immigration control is to be workable, predictable, consistent and fair as between one applicant and another; the damage to good administration  and effective control if a system is perceived by applicants internationally to be unduly porous, unpredictable or perfunctory; the need to discourage non-nationals admitted to the country temporarily from believing they can commit serious crimes and yet be allowed to remain; the need to discourage fraud, </w:t>
      </w:r>
      <w:r w:rsidR="004A1A1C">
        <w:rPr>
          <w:rFonts w:ascii="Book Antiqua" w:hAnsi="Book Antiqua" w:cs="Arial"/>
        </w:rPr>
        <w:t>deception</w:t>
      </w:r>
      <w:r w:rsidR="00BD18B9">
        <w:rPr>
          <w:rFonts w:ascii="Book Antiqua" w:hAnsi="Book Antiqua" w:cs="Arial"/>
        </w:rPr>
        <w:t xml:space="preserve"> and ser</w:t>
      </w:r>
      <w:r w:rsidR="00376AB3">
        <w:rPr>
          <w:rFonts w:ascii="Book Antiqua" w:hAnsi="Book Antiqua" w:cs="Arial"/>
        </w:rPr>
        <w:t>ious breaches of the law and so</w:t>
      </w:r>
      <w:r w:rsidR="00567F9E">
        <w:rPr>
          <w:rFonts w:ascii="Book Antiqua" w:hAnsi="Book Antiqua" w:cs="Arial"/>
        </w:rPr>
        <w:t xml:space="preserve"> on</w:t>
      </w:r>
      <w:r w:rsidR="004A1A1C">
        <w:rPr>
          <w:rFonts w:ascii="Book Antiqua" w:hAnsi="Book Antiqua" w:cs="Arial"/>
        </w:rPr>
        <w:t>.</w:t>
      </w:r>
      <w:r w:rsidR="00567F9E">
        <w:rPr>
          <w:rFonts w:ascii="Book Antiqua" w:hAnsi="Book Antiqua" w:cs="Arial"/>
        </w:rPr>
        <w:t>”</w:t>
      </w:r>
    </w:p>
    <w:p w:rsidR="004A1A1C" w:rsidRDefault="004A1A1C" w:rsidP="00BD18B9">
      <w:pPr>
        <w:tabs>
          <w:tab w:val="left" w:pos="567"/>
        </w:tabs>
        <w:ind w:left="1134"/>
        <w:jc w:val="both"/>
        <w:rPr>
          <w:rFonts w:ascii="Book Antiqua" w:hAnsi="Book Antiqua" w:cs="Arial"/>
        </w:rPr>
      </w:pPr>
    </w:p>
    <w:p w:rsidR="004A1A1C" w:rsidRDefault="004A1A1C" w:rsidP="004A1A1C">
      <w:pPr>
        <w:tabs>
          <w:tab w:val="left" w:pos="567"/>
        </w:tabs>
        <w:ind w:left="567"/>
        <w:jc w:val="both"/>
        <w:rPr>
          <w:rFonts w:ascii="Book Antiqua" w:hAnsi="Book Antiqua" w:cs="Arial"/>
        </w:rPr>
      </w:pPr>
      <w:r>
        <w:rPr>
          <w:rFonts w:ascii="Book Antiqua" w:hAnsi="Book Antiqua" w:cs="Arial"/>
        </w:rPr>
        <w:t xml:space="preserve">Later in the same </w:t>
      </w:r>
      <w:r w:rsidR="00F94C3B">
        <w:rPr>
          <w:rFonts w:ascii="Book Antiqua" w:hAnsi="Book Antiqua" w:cs="Arial"/>
        </w:rPr>
        <w:t xml:space="preserve">judgment </w:t>
      </w:r>
      <w:r>
        <w:rPr>
          <w:rFonts w:ascii="Book Antiqua" w:hAnsi="Book Antiqua" w:cs="Arial"/>
        </w:rPr>
        <w:t xml:space="preserve">Lord Bingham described </w:t>
      </w:r>
      <w:r w:rsidR="00496054">
        <w:rPr>
          <w:rFonts w:ascii="Book Antiqua" w:hAnsi="Book Antiqua" w:cs="Arial"/>
        </w:rPr>
        <w:t>the giving of weight to the Secretary of State</w:t>
      </w:r>
      <w:r>
        <w:rPr>
          <w:rFonts w:ascii="Book Antiqua" w:hAnsi="Book Antiqua" w:cs="Arial"/>
        </w:rPr>
        <w:t>’s views as when deportation or exclusion operated as a valuable deterrent in the public interest as:</w:t>
      </w:r>
    </w:p>
    <w:p w:rsidR="004A1A1C" w:rsidRDefault="004A1A1C" w:rsidP="004A1A1C">
      <w:pPr>
        <w:tabs>
          <w:tab w:val="left" w:pos="567"/>
        </w:tabs>
        <w:jc w:val="both"/>
        <w:rPr>
          <w:rFonts w:ascii="Book Antiqua" w:hAnsi="Book Antiqua" w:cs="Arial"/>
        </w:rPr>
      </w:pPr>
    </w:p>
    <w:p w:rsidR="004A1A1C" w:rsidRDefault="00A308D8" w:rsidP="004A1A1C">
      <w:pPr>
        <w:tabs>
          <w:tab w:val="left" w:pos="567"/>
        </w:tabs>
        <w:ind w:left="1134"/>
        <w:jc w:val="both"/>
        <w:rPr>
          <w:rFonts w:ascii="Book Antiqua" w:hAnsi="Book Antiqua" w:cs="Arial"/>
        </w:rPr>
      </w:pPr>
      <w:r>
        <w:rPr>
          <w:rFonts w:ascii="Book Antiqua" w:hAnsi="Book Antiqua" w:cs="Arial"/>
        </w:rPr>
        <w:t>“P</w:t>
      </w:r>
      <w:r w:rsidR="004A1A1C">
        <w:rPr>
          <w:rFonts w:ascii="Book Antiqua" w:hAnsi="Book Antiqua" w:cs="Arial"/>
        </w:rPr>
        <w:t xml:space="preserve">erformance of the ordinary judicial task of weighing up competing considerations on each side and according appropriate </w:t>
      </w:r>
      <w:r>
        <w:rPr>
          <w:rFonts w:ascii="Book Antiqua" w:hAnsi="Book Antiqua" w:cs="Arial"/>
        </w:rPr>
        <w:t>weight to</w:t>
      </w:r>
      <w:r w:rsidR="004A1A1C">
        <w:rPr>
          <w:rFonts w:ascii="Book Antiqua" w:hAnsi="Book Antiqua" w:cs="Arial"/>
        </w:rPr>
        <w:t xml:space="preserve"> the judgment of a person with responsibility for a given subject matter and access to special sources of information”.</w:t>
      </w:r>
    </w:p>
    <w:p w:rsidR="004A1A1C" w:rsidRDefault="004A1A1C" w:rsidP="004A1A1C">
      <w:pPr>
        <w:tabs>
          <w:tab w:val="left" w:pos="567"/>
        </w:tabs>
        <w:jc w:val="both"/>
        <w:rPr>
          <w:rFonts w:ascii="Book Antiqua" w:hAnsi="Book Antiqua" w:cs="Arial"/>
        </w:rPr>
      </w:pPr>
    </w:p>
    <w:p w:rsidR="00A308D8" w:rsidRDefault="00A308D8" w:rsidP="00A308D8">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We see</w:t>
      </w:r>
      <w:r w:rsidR="004A1A1C">
        <w:rPr>
          <w:rFonts w:ascii="Book Antiqua" w:hAnsi="Book Antiqua" w:cs="Arial"/>
        </w:rPr>
        <w:t xml:space="preserve"> no reason why a statement of policy as to when those with no </w:t>
      </w:r>
      <w:r>
        <w:rPr>
          <w:rFonts w:ascii="Book Antiqua" w:hAnsi="Book Antiqua" w:cs="Arial"/>
        </w:rPr>
        <w:t xml:space="preserve">other </w:t>
      </w:r>
      <w:r w:rsidR="004A1A1C">
        <w:rPr>
          <w:rFonts w:ascii="Book Antiqua" w:hAnsi="Book Antiqua" w:cs="Arial"/>
        </w:rPr>
        <w:t xml:space="preserve">claim under the </w:t>
      </w:r>
      <w:r>
        <w:rPr>
          <w:rFonts w:ascii="Book Antiqua" w:hAnsi="Book Antiqua" w:cs="Arial"/>
        </w:rPr>
        <w:t xml:space="preserve">Immigration Rules </w:t>
      </w:r>
      <w:r w:rsidR="004A1A1C">
        <w:rPr>
          <w:rFonts w:ascii="Book Antiqua" w:hAnsi="Book Antiqua" w:cs="Arial"/>
        </w:rPr>
        <w:t xml:space="preserve">will or will not be admitted or expelled, </w:t>
      </w:r>
      <w:r w:rsidR="00567F9E">
        <w:rPr>
          <w:rFonts w:ascii="Book Antiqua" w:hAnsi="Book Antiqua" w:cs="Arial"/>
        </w:rPr>
        <w:t>should not be expressed in the Immigration R</w:t>
      </w:r>
      <w:r w:rsidR="004A1A1C">
        <w:rPr>
          <w:rFonts w:ascii="Book Antiqua" w:hAnsi="Book Antiqua" w:cs="Arial"/>
        </w:rPr>
        <w:t>ules, and when they are</w:t>
      </w:r>
      <w:r w:rsidR="00567F9E">
        <w:rPr>
          <w:rFonts w:ascii="Book Antiqua" w:hAnsi="Book Antiqua" w:cs="Arial"/>
        </w:rPr>
        <w:t>,</w:t>
      </w:r>
      <w:r w:rsidR="004A1A1C">
        <w:rPr>
          <w:rFonts w:ascii="Book Antiqua" w:hAnsi="Book Antiqua" w:cs="Arial"/>
        </w:rPr>
        <w:t xml:space="preserve"> appropriate weight should be given to it for the reasons given by Lord Bingham.</w:t>
      </w:r>
      <w:r>
        <w:rPr>
          <w:rFonts w:ascii="Book Antiqua" w:hAnsi="Book Antiqua" w:cs="Arial"/>
        </w:rPr>
        <w:t xml:space="preserve"> </w:t>
      </w:r>
    </w:p>
    <w:p w:rsidR="00F32555" w:rsidRDefault="00A308D8" w:rsidP="00A308D8">
      <w:pPr>
        <w:tabs>
          <w:tab w:val="left" w:pos="567"/>
        </w:tabs>
        <w:jc w:val="both"/>
        <w:rPr>
          <w:rFonts w:ascii="Book Antiqua" w:hAnsi="Book Antiqua" w:cs="Arial"/>
        </w:rPr>
      </w:pPr>
      <w:r>
        <w:rPr>
          <w:rFonts w:ascii="Book Antiqua" w:hAnsi="Book Antiqua" w:cs="Arial"/>
        </w:rPr>
        <w:t xml:space="preserve"> </w:t>
      </w:r>
    </w:p>
    <w:p w:rsidR="00F32555" w:rsidRDefault="00A44BA0"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There is the further consideration, not explored in the submissions before us, but reflected in particul</w:t>
      </w:r>
      <w:r w:rsidR="00A308D8">
        <w:rPr>
          <w:rFonts w:ascii="Book Antiqua" w:hAnsi="Book Antiqua" w:cs="Arial"/>
        </w:rPr>
        <w:t xml:space="preserve">ar in the case law relating to </w:t>
      </w:r>
      <w:r>
        <w:rPr>
          <w:rFonts w:ascii="Book Antiqua" w:hAnsi="Book Antiqua" w:cs="Arial"/>
        </w:rPr>
        <w:t xml:space="preserve">Article 5 ECHR that although the rules and similar statements of policy do not have the force of law, they are considered to be part of the </w:t>
      </w:r>
      <w:r w:rsidR="00567F9E">
        <w:rPr>
          <w:rFonts w:ascii="Book Antiqua" w:hAnsi="Book Antiqua" w:cs="Arial"/>
        </w:rPr>
        <w:t>law for</w:t>
      </w:r>
      <w:r>
        <w:rPr>
          <w:rFonts w:ascii="Book Antiqua" w:hAnsi="Book Antiqua" w:cs="Arial"/>
        </w:rPr>
        <w:t xml:space="preserve"> the assessment of whether an interference is “in accordance with the law</w:t>
      </w:r>
      <w:r w:rsidR="00567F9E">
        <w:rPr>
          <w:rFonts w:ascii="Book Antiqua" w:hAnsi="Book Antiqua" w:cs="Arial"/>
        </w:rPr>
        <w:t>” for</w:t>
      </w:r>
      <w:r>
        <w:rPr>
          <w:rFonts w:ascii="Book Antiqua" w:hAnsi="Book Antiqua" w:cs="Arial"/>
        </w:rPr>
        <w:t xml:space="preserve">  rights that are balanced r</w:t>
      </w:r>
      <w:r w:rsidR="00F94C3B">
        <w:rPr>
          <w:rFonts w:ascii="Book Antiqua" w:hAnsi="Book Antiqua" w:cs="Arial"/>
        </w:rPr>
        <w:t>ights under the Convention</w:t>
      </w:r>
      <w:r>
        <w:rPr>
          <w:rFonts w:ascii="Book Antiqua" w:hAnsi="Book Antiqua" w:cs="Arial"/>
        </w:rPr>
        <w:t xml:space="preserve"> : see </w:t>
      </w:r>
      <w:r w:rsidRPr="00C715C1">
        <w:rPr>
          <w:rFonts w:ascii="Book Antiqua" w:hAnsi="Book Antiqua" w:cs="Arial"/>
          <w:u w:val="single"/>
        </w:rPr>
        <w:t>Nadarajah v SSHD</w:t>
      </w:r>
      <w:r>
        <w:rPr>
          <w:rFonts w:ascii="Book Antiqua" w:hAnsi="Book Antiqua" w:cs="Arial"/>
        </w:rPr>
        <w:t xml:space="preserve"> [2003] EWCA Civ </w:t>
      </w:r>
      <w:r w:rsidR="00496054">
        <w:rPr>
          <w:rFonts w:ascii="Book Antiqua" w:hAnsi="Book Antiqua" w:cs="Arial"/>
        </w:rPr>
        <w:t>1768 [</w:t>
      </w:r>
      <w:r>
        <w:rPr>
          <w:rFonts w:ascii="Book Antiqua" w:hAnsi="Book Antiqua" w:cs="Arial"/>
        </w:rPr>
        <w:t xml:space="preserve">2004] INLR 139 cited and approved </w:t>
      </w:r>
      <w:r w:rsidR="00496054">
        <w:rPr>
          <w:rFonts w:ascii="Book Antiqua" w:hAnsi="Book Antiqua" w:cs="Arial"/>
        </w:rPr>
        <w:t xml:space="preserve">in </w:t>
      </w:r>
      <w:r w:rsidR="00496054" w:rsidRPr="00F94C3B">
        <w:rPr>
          <w:rFonts w:ascii="Book Antiqua" w:hAnsi="Book Antiqua" w:cs="Arial"/>
          <w:u w:val="single"/>
        </w:rPr>
        <w:t>Lumba</w:t>
      </w:r>
      <w:r w:rsidR="00C715C1" w:rsidRPr="00F94C3B">
        <w:rPr>
          <w:rFonts w:ascii="Book Antiqua" w:hAnsi="Book Antiqua" w:cs="Arial"/>
          <w:u w:val="single"/>
        </w:rPr>
        <w:t xml:space="preserve"> </w:t>
      </w:r>
      <w:r w:rsidR="00C715C1" w:rsidRPr="00C715C1">
        <w:rPr>
          <w:rFonts w:ascii="Book Antiqua" w:hAnsi="Book Antiqua" w:cs="Arial"/>
          <w:u w:val="single"/>
        </w:rPr>
        <w:t>and Mighty</w:t>
      </w:r>
      <w:r w:rsidRPr="00C715C1">
        <w:rPr>
          <w:rFonts w:ascii="Book Antiqua" w:hAnsi="Book Antiqua" w:cs="Arial"/>
          <w:u w:val="single"/>
        </w:rPr>
        <w:t xml:space="preserve"> v SSHD</w:t>
      </w:r>
      <w:r w:rsidR="0076101D">
        <w:rPr>
          <w:rFonts w:ascii="Book Antiqua" w:hAnsi="Book Antiqua" w:cs="Arial"/>
        </w:rPr>
        <w:t xml:space="preserve"> [2011] UKSC 12 </w:t>
      </w:r>
      <w:r>
        <w:rPr>
          <w:rFonts w:ascii="Book Antiqua" w:hAnsi="Book Antiqua" w:cs="Arial"/>
        </w:rPr>
        <w:t xml:space="preserve">[2012] </w:t>
      </w:r>
      <w:r w:rsidR="00C715C1">
        <w:rPr>
          <w:rFonts w:ascii="Book Antiqua" w:hAnsi="Book Antiqua" w:cs="Arial"/>
        </w:rPr>
        <w:t xml:space="preserve">1 </w:t>
      </w:r>
      <w:r w:rsidR="0076101D">
        <w:rPr>
          <w:rFonts w:ascii="Book Antiqua" w:hAnsi="Book Antiqua" w:cs="Arial"/>
        </w:rPr>
        <w:t xml:space="preserve">AC </w:t>
      </w:r>
      <w:r w:rsidR="00C715C1">
        <w:rPr>
          <w:rFonts w:ascii="Book Antiqua" w:hAnsi="Book Antiqua" w:cs="Arial"/>
        </w:rPr>
        <w:t xml:space="preserve">245 </w:t>
      </w:r>
      <w:r>
        <w:rPr>
          <w:rFonts w:ascii="Book Antiqua" w:hAnsi="Book Antiqua" w:cs="Arial"/>
        </w:rPr>
        <w:t xml:space="preserve"> at [26] to  [37]</w:t>
      </w:r>
      <w:r w:rsidR="00C715C1">
        <w:rPr>
          <w:rFonts w:ascii="Book Antiqua" w:hAnsi="Book Antiqua" w:cs="Arial"/>
        </w:rPr>
        <w:t>, [206] and [302]. By analogy, a decision to interfere with Article 8 rights that was not in ac</w:t>
      </w:r>
      <w:r w:rsidR="00567F9E">
        <w:rPr>
          <w:rFonts w:ascii="Book Antiqua" w:hAnsi="Book Antiqua" w:cs="Arial"/>
        </w:rPr>
        <w:t>cordance with lawful policy,</w:t>
      </w:r>
      <w:r w:rsidR="00C715C1">
        <w:rPr>
          <w:rFonts w:ascii="Book Antiqua" w:hAnsi="Book Antiqua" w:cs="Arial"/>
        </w:rPr>
        <w:t xml:space="preserve"> would</w:t>
      </w:r>
      <w:r w:rsidR="00567F9E">
        <w:rPr>
          <w:rFonts w:ascii="Book Antiqua" w:hAnsi="Book Antiqua" w:cs="Arial"/>
        </w:rPr>
        <w:t>,</w:t>
      </w:r>
      <w:r w:rsidR="00C715C1">
        <w:rPr>
          <w:rFonts w:ascii="Book Antiqua" w:hAnsi="Book Antiqua" w:cs="Arial"/>
        </w:rPr>
        <w:t xml:space="preserve"> therefore</w:t>
      </w:r>
      <w:r w:rsidR="00567F9E">
        <w:rPr>
          <w:rFonts w:ascii="Book Antiqua" w:hAnsi="Book Antiqua" w:cs="Arial"/>
        </w:rPr>
        <w:t>,</w:t>
      </w:r>
      <w:r w:rsidR="00C715C1">
        <w:rPr>
          <w:rFonts w:ascii="Book Antiqua" w:hAnsi="Book Antiqua" w:cs="Arial"/>
        </w:rPr>
        <w:t xml:space="preserve"> </w:t>
      </w:r>
      <w:r w:rsidR="00567F9E">
        <w:rPr>
          <w:rFonts w:ascii="Book Antiqua" w:hAnsi="Book Antiqua" w:cs="Arial"/>
        </w:rPr>
        <w:t xml:space="preserve">probably </w:t>
      </w:r>
      <w:r w:rsidR="00C715C1">
        <w:rPr>
          <w:rFonts w:ascii="Book Antiqua" w:hAnsi="Book Antiqua" w:cs="Arial"/>
        </w:rPr>
        <w:t>be considered as not in accordance with the law for the purpose of justifying an interference with Article 8 rights.</w:t>
      </w:r>
    </w:p>
    <w:p w:rsidR="00C715C1" w:rsidRDefault="00C715C1" w:rsidP="00C715C1">
      <w:pPr>
        <w:tabs>
          <w:tab w:val="left" w:pos="567"/>
        </w:tabs>
        <w:jc w:val="both"/>
        <w:rPr>
          <w:rFonts w:ascii="Book Antiqua" w:hAnsi="Book Antiqua" w:cs="Arial"/>
        </w:rPr>
      </w:pPr>
    </w:p>
    <w:p w:rsidR="001E1B02" w:rsidRDefault="00C715C1"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We accordingly further </w:t>
      </w:r>
      <w:r w:rsidR="00567F9E">
        <w:rPr>
          <w:rFonts w:ascii="Book Antiqua" w:hAnsi="Book Antiqua" w:cs="Arial"/>
        </w:rPr>
        <w:t xml:space="preserve">endorse </w:t>
      </w:r>
      <w:r>
        <w:rPr>
          <w:rFonts w:ascii="Book Antiqua" w:hAnsi="Book Antiqua" w:cs="Arial"/>
        </w:rPr>
        <w:t>the Upper Tribunal</w:t>
      </w:r>
      <w:r w:rsidR="00567F9E">
        <w:rPr>
          <w:rFonts w:ascii="Book Antiqua" w:hAnsi="Book Antiqua" w:cs="Arial"/>
        </w:rPr>
        <w:t xml:space="preserve">’s </w:t>
      </w:r>
      <w:r w:rsidR="00496054">
        <w:rPr>
          <w:rFonts w:ascii="Book Antiqua" w:hAnsi="Book Antiqua" w:cs="Arial"/>
        </w:rPr>
        <w:t>observation in</w:t>
      </w:r>
      <w:r>
        <w:rPr>
          <w:rFonts w:ascii="Book Antiqua" w:hAnsi="Book Antiqua" w:cs="Arial"/>
        </w:rPr>
        <w:t xml:space="preserve"> </w:t>
      </w:r>
      <w:r w:rsidRPr="00A308D8">
        <w:rPr>
          <w:rFonts w:ascii="Book Antiqua" w:hAnsi="Book Antiqua" w:cs="Arial"/>
          <w:u w:val="single"/>
        </w:rPr>
        <w:t>MF</w:t>
      </w:r>
      <w:r w:rsidR="00F94C3B">
        <w:rPr>
          <w:rFonts w:ascii="Book Antiqua" w:hAnsi="Book Antiqua" w:cs="Arial"/>
        </w:rPr>
        <w:t xml:space="preserve"> t</w:t>
      </w:r>
      <w:r>
        <w:rPr>
          <w:rFonts w:ascii="Book Antiqua" w:hAnsi="Book Antiqua" w:cs="Arial"/>
        </w:rPr>
        <w:t>hat judges called on to make decisions abou</w:t>
      </w:r>
      <w:r w:rsidR="001E1B02">
        <w:rPr>
          <w:rFonts w:ascii="Book Antiqua" w:hAnsi="Book Antiqua" w:cs="Arial"/>
        </w:rPr>
        <w:t xml:space="preserve">t the application of Article 8 </w:t>
      </w:r>
      <w:r>
        <w:rPr>
          <w:rFonts w:ascii="Book Antiqua" w:hAnsi="Book Antiqua" w:cs="Arial"/>
        </w:rPr>
        <w:t xml:space="preserve">in cases to which the new rules apply, should proceed by </w:t>
      </w:r>
      <w:r w:rsidR="001E1B02">
        <w:rPr>
          <w:rFonts w:ascii="Book Antiqua" w:hAnsi="Book Antiqua" w:cs="Arial"/>
        </w:rPr>
        <w:t xml:space="preserve">first </w:t>
      </w:r>
      <w:r>
        <w:rPr>
          <w:rFonts w:ascii="Book Antiqua" w:hAnsi="Book Antiqua" w:cs="Arial"/>
        </w:rPr>
        <w:t>consider</w:t>
      </w:r>
      <w:r w:rsidR="001E1B02">
        <w:rPr>
          <w:rFonts w:ascii="Book Antiqua" w:hAnsi="Book Antiqua" w:cs="Arial"/>
        </w:rPr>
        <w:t>ing whether a</w:t>
      </w:r>
      <w:r>
        <w:rPr>
          <w:rFonts w:ascii="Book Antiqua" w:hAnsi="Book Antiqua" w:cs="Arial"/>
        </w:rPr>
        <w:t xml:space="preserve"> claimant </w:t>
      </w:r>
      <w:r w:rsidR="001E1B02">
        <w:rPr>
          <w:rFonts w:ascii="Book Antiqua" w:hAnsi="Book Antiqua" w:cs="Arial"/>
        </w:rPr>
        <w:t>is able to benefit</w:t>
      </w:r>
      <w:r w:rsidR="00496054">
        <w:rPr>
          <w:rFonts w:ascii="Book Antiqua" w:hAnsi="Book Antiqua" w:cs="Arial"/>
        </w:rPr>
        <w:t xml:space="preserve"> under the applicable provisions of the Immigration Rules designed to address Article 8 claims. </w:t>
      </w:r>
      <w:r w:rsidR="001E1B02">
        <w:rPr>
          <w:rFonts w:ascii="Book Antiqua" w:hAnsi="Book Antiqua" w:cs="Arial"/>
        </w:rPr>
        <w:t xml:space="preserve">If he or she does, there will be no need to go on </w:t>
      </w:r>
      <w:r w:rsidR="00496054">
        <w:rPr>
          <w:rFonts w:ascii="Book Antiqua" w:hAnsi="Book Antiqua" w:cs="Arial"/>
        </w:rPr>
        <w:t>to consider Article 8 generally. T</w:t>
      </w:r>
      <w:r w:rsidR="001E1B02">
        <w:rPr>
          <w:rFonts w:ascii="Book Antiqua" w:hAnsi="Book Antiqua" w:cs="Arial"/>
        </w:rPr>
        <w:t>he appeal can be allowed because the decision is not in accordance wit</w:t>
      </w:r>
      <w:r w:rsidR="0076101D">
        <w:rPr>
          <w:rFonts w:ascii="Book Antiqua" w:hAnsi="Book Antiqua" w:cs="Arial"/>
        </w:rPr>
        <w:t>h the r</w:t>
      </w:r>
      <w:r w:rsidR="001E1B02">
        <w:rPr>
          <w:rFonts w:ascii="Book Antiqua" w:hAnsi="Book Antiqua" w:cs="Arial"/>
        </w:rPr>
        <w:t>ules</w:t>
      </w:r>
      <w:r w:rsidR="00496054">
        <w:rPr>
          <w:rFonts w:ascii="Book Antiqua" w:hAnsi="Book Antiqua" w:cs="Arial"/>
        </w:rPr>
        <w:t>.</w:t>
      </w:r>
    </w:p>
    <w:p w:rsidR="0076101D" w:rsidRDefault="0076101D" w:rsidP="0076101D">
      <w:pPr>
        <w:tabs>
          <w:tab w:val="left" w:pos="567"/>
        </w:tabs>
        <w:jc w:val="both"/>
        <w:rPr>
          <w:rFonts w:ascii="Book Antiqua" w:hAnsi="Book Antiqua" w:cs="Arial"/>
        </w:rPr>
      </w:pPr>
    </w:p>
    <w:p w:rsidR="00567F9E" w:rsidRDefault="001E1B02"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Where the claimant does not meet the</w:t>
      </w:r>
      <w:r w:rsidR="0076101D">
        <w:rPr>
          <w:rFonts w:ascii="Book Antiqua" w:hAnsi="Book Antiqua" w:cs="Arial"/>
        </w:rPr>
        <w:t xml:space="preserve"> requirements of the r</w:t>
      </w:r>
      <w:r>
        <w:rPr>
          <w:rFonts w:ascii="Book Antiqua" w:hAnsi="Book Antiqua" w:cs="Arial"/>
        </w:rPr>
        <w:t xml:space="preserve">ules it will be necessary for the judge to go on to make an assessment of Article 8 applying the criteria established by law. </w:t>
      </w:r>
    </w:p>
    <w:p w:rsidR="00496054" w:rsidRDefault="00496054" w:rsidP="00496054">
      <w:pPr>
        <w:tabs>
          <w:tab w:val="left" w:pos="567"/>
        </w:tabs>
        <w:jc w:val="both"/>
        <w:rPr>
          <w:rFonts w:ascii="Book Antiqua" w:hAnsi="Book Antiqua" w:cs="Arial"/>
        </w:rPr>
      </w:pPr>
    </w:p>
    <w:p w:rsidR="001E1F27" w:rsidRDefault="001E1B02"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When considering whether the immigration decision is a justified interference wit</w:t>
      </w:r>
      <w:r w:rsidR="00496054">
        <w:rPr>
          <w:rFonts w:ascii="Book Antiqua" w:hAnsi="Book Antiqua" w:cs="Arial"/>
        </w:rPr>
        <w:t xml:space="preserve">h the right </w:t>
      </w:r>
      <w:r w:rsidR="0076101D">
        <w:rPr>
          <w:rFonts w:ascii="Book Antiqua" w:hAnsi="Book Antiqua" w:cs="Arial"/>
        </w:rPr>
        <w:t>to family and/or private life, the provisions of the r</w:t>
      </w:r>
      <w:r>
        <w:rPr>
          <w:rFonts w:ascii="Book Antiqua" w:hAnsi="Book Antiqua" w:cs="Arial"/>
        </w:rPr>
        <w:t>ules</w:t>
      </w:r>
      <w:r w:rsidR="0076101D">
        <w:rPr>
          <w:rFonts w:ascii="Book Antiqua" w:hAnsi="Book Antiqua" w:cs="Arial"/>
        </w:rPr>
        <w:t xml:space="preserve"> or other relevant statement of policy</w:t>
      </w:r>
      <w:r>
        <w:rPr>
          <w:rFonts w:ascii="Book Antiqua" w:hAnsi="Book Antiqua" w:cs="Arial"/>
        </w:rPr>
        <w:t xml:space="preserve"> may again re-enter the </w:t>
      </w:r>
      <w:r w:rsidR="00496054">
        <w:rPr>
          <w:rFonts w:ascii="Book Antiqua" w:hAnsi="Book Antiqua" w:cs="Arial"/>
        </w:rPr>
        <w:t xml:space="preserve">debate but this time as part of the </w:t>
      </w:r>
      <w:r>
        <w:rPr>
          <w:rFonts w:ascii="Book Antiqua" w:hAnsi="Book Antiqua" w:cs="Arial"/>
        </w:rPr>
        <w:t>proportionality evaluation. Here the judge will be asking</w:t>
      </w:r>
      <w:r w:rsidR="00567F9E">
        <w:rPr>
          <w:rFonts w:ascii="Book Antiqua" w:hAnsi="Book Antiqua" w:cs="Arial"/>
        </w:rPr>
        <w:t xml:space="preserve"> whether the interference was a</w:t>
      </w:r>
      <w:r>
        <w:rPr>
          <w:rFonts w:ascii="Book Antiqua" w:hAnsi="Book Antiqua" w:cs="Arial"/>
        </w:rPr>
        <w:t xml:space="preserve"> proportionate means of achieving the legitimate aim in question and a fair balance as to the competing interests. </w:t>
      </w:r>
    </w:p>
    <w:p w:rsidR="001E1F27" w:rsidRDefault="001E1F27" w:rsidP="001E1F27">
      <w:pPr>
        <w:tabs>
          <w:tab w:val="left" w:pos="567"/>
        </w:tabs>
        <w:jc w:val="both"/>
        <w:rPr>
          <w:rFonts w:ascii="Book Antiqua" w:hAnsi="Book Antiqua" w:cs="Arial"/>
        </w:rPr>
      </w:pPr>
    </w:p>
    <w:p w:rsidR="0076101D" w:rsidRDefault="001E1B02"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weight to be attached to any reason for rejection</w:t>
      </w:r>
      <w:r w:rsidR="00496054">
        <w:rPr>
          <w:rFonts w:ascii="Book Antiqua" w:hAnsi="Book Antiqua" w:cs="Arial"/>
        </w:rPr>
        <w:t xml:space="preserve"> of the </w:t>
      </w:r>
      <w:r w:rsidR="0076101D">
        <w:rPr>
          <w:rFonts w:ascii="Book Antiqua" w:hAnsi="Book Antiqua" w:cs="Arial"/>
        </w:rPr>
        <w:t xml:space="preserve">human rights </w:t>
      </w:r>
      <w:r w:rsidR="00496054">
        <w:rPr>
          <w:rFonts w:ascii="Book Antiqua" w:hAnsi="Book Antiqua" w:cs="Arial"/>
        </w:rPr>
        <w:t xml:space="preserve">claim indicated by </w:t>
      </w:r>
      <w:r w:rsidR="0076101D">
        <w:rPr>
          <w:rFonts w:ascii="Book Antiqua" w:hAnsi="Book Antiqua" w:cs="Arial"/>
        </w:rPr>
        <w:t>particular provisions of the r</w:t>
      </w:r>
      <w:r>
        <w:rPr>
          <w:rFonts w:ascii="Book Antiqua" w:hAnsi="Book Antiqua" w:cs="Arial"/>
        </w:rPr>
        <w:t xml:space="preserve">ules will depend </w:t>
      </w:r>
      <w:r w:rsidR="00592F3A">
        <w:rPr>
          <w:rFonts w:ascii="Book Antiqua" w:hAnsi="Book Antiqua" w:cs="Arial"/>
        </w:rPr>
        <w:t>both on the particular facts found by the judge in the case i</w:t>
      </w:r>
      <w:r w:rsidR="0076101D">
        <w:rPr>
          <w:rFonts w:ascii="Book Antiqua" w:hAnsi="Book Antiqua" w:cs="Arial"/>
        </w:rPr>
        <w:t>n hand and the extent that the r</w:t>
      </w:r>
      <w:r w:rsidR="00592F3A">
        <w:rPr>
          <w:rFonts w:ascii="Book Antiqua" w:hAnsi="Book Antiqua" w:cs="Arial"/>
        </w:rPr>
        <w:t>ules themselves reflect criteria approved in the previous case law of the Human Rights Court at Strasbourg and the higher courts in the United Kingdom.</w:t>
      </w:r>
    </w:p>
    <w:p w:rsidR="0076101D" w:rsidRDefault="0076101D" w:rsidP="0076101D">
      <w:pPr>
        <w:tabs>
          <w:tab w:val="left" w:pos="567"/>
        </w:tabs>
        <w:jc w:val="both"/>
        <w:rPr>
          <w:rFonts w:ascii="Book Antiqua" w:hAnsi="Book Antiqua" w:cs="Arial"/>
        </w:rPr>
      </w:pPr>
    </w:p>
    <w:p w:rsidR="005660F4" w:rsidRDefault="00496054" w:rsidP="00A44BA0">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For example, </w:t>
      </w:r>
      <w:r w:rsidR="007730C1">
        <w:rPr>
          <w:rFonts w:ascii="Book Antiqua" w:hAnsi="Book Antiqua" w:cs="Arial"/>
        </w:rPr>
        <w:t>paragraph 399 of the Immigration Rules deals with family life claims by people who are li</w:t>
      </w:r>
      <w:r w:rsidR="0076101D">
        <w:rPr>
          <w:rFonts w:ascii="Book Antiqua" w:hAnsi="Book Antiqua" w:cs="Arial"/>
        </w:rPr>
        <w:t xml:space="preserve">able to deportation. Paragraph </w:t>
      </w:r>
      <w:r w:rsidR="007730C1">
        <w:rPr>
          <w:rFonts w:ascii="Book Antiqua" w:hAnsi="Book Antiqua" w:cs="Arial"/>
        </w:rPr>
        <w:t xml:space="preserve">398 provides that those who have received </w:t>
      </w:r>
      <w:r w:rsidR="00592F3A">
        <w:rPr>
          <w:rFonts w:ascii="Book Antiqua" w:hAnsi="Book Antiqua" w:cs="Arial"/>
        </w:rPr>
        <w:t>a</w:t>
      </w:r>
      <w:r w:rsidR="007730C1">
        <w:rPr>
          <w:rFonts w:ascii="Book Antiqua" w:hAnsi="Book Antiqua" w:cs="Arial"/>
        </w:rPr>
        <w:t xml:space="preserve"> sentence of between one and four years imprisonment or have received a sentence of less than twelve months imprisonment but are persistent offenders can expect that the public interest in deportation will normally outweigh respe</w:t>
      </w:r>
      <w:r w:rsidR="005660F4">
        <w:rPr>
          <w:rFonts w:ascii="Book Antiqua" w:hAnsi="Book Antiqua" w:cs="Arial"/>
        </w:rPr>
        <w:t xml:space="preserve">ct for family life unless  paragraph </w:t>
      </w:r>
      <w:r w:rsidR="007730C1">
        <w:rPr>
          <w:rFonts w:ascii="Book Antiqua" w:hAnsi="Book Antiqua" w:cs="Arial"/>
        </w:rPr>
        <w:t xml:space="preserve">399 applies. </w:t>
      </w:r>
      <w:r w:rsidR="005660F4">
        <w:rPr>
          <w:rFonts w:ascii="Book Antiqua" w:hAnsi="Book Antiqua" w:cs="Arial"/>
        </w:rPr>
        <w:t xml:space="preserve">This paragraph applies where the child is a British citizen, has lived continuously for at least seven years immediately preceding the immigration decision, and it would not be reasonable to expect the child to leave the </w:t>
      </w:r>
      <w:smartTag w:uri="urn:schemas-microsoft-com:office:smarttags" w:element="PlaceType">
        <w:r w:rsidR="005660F4">
          <w:rPr>
            <w:rFonts w:ascii="Book Antiqua" w:hAnsi="Book Antiqua" w:cs="Arial"/>
          </w:rPr>
          <w:t>UK</w:t>
        </w:r>
      </w:smartTag>
      <w:r w:rsidR="005660F4">
        <w:rPr>
          <w:rFonts w:ascii="Book Antiqua" w:hAnsi="Book Antiqua" w:cs="Arial"/>
        </w:rPr>
        <w:t xml:space="preserve">. However in addition there must be “no other family member who is able to care for the child in the </w:t>
      </w:r>
      <w:smartTag w:uri="urn:schemas-microsoft-com:office:smarttags" w:element="PlaceType">
        <w:r w:rsidR="005660F4">
          <w:rPr>
            <w:rFonts w:ascii="Book Antiqua" w:hAnsi="Book Antiqua" w:cs="Arial"/>
          </w:rPr>
          <w:t>United Kingdom</w:t>
        </w:r>
      </w:smartTag>
      <w:r w:rsidR="005660F4">
        <w:rPr>
          <w:rFonts w:ascii="Book Antiqua" w:hAnsi="Book Antiqua" w:cs="Arial"/>
        </w:rPr>
        <w:t xml:space="preserve">”. Focusing simply on the last requirement, it is very difficult to see how any weight could be given to this requirement in an Article 8 evaluation </w:t>
      </w:r>
      <w:r w:rsidR="0076101D">
        <w:rPr>
          <w:rFonts w:ascii="Book Antiqua" w:hAnsi="Book Antiqua" w:cs="Arial"/>
        </w:rPr>
        <w:t xml:space="preserve">under the law </w:t>
      </w:r>
      <w:r w:rsidR="005660F4">
        <w:rPr>
          <w:rFonts w:ascii="Book Antiqua" w:hAnsi="Book Antiqua" w:cs="Arial"/>
        </w:rPr>
        <w:t xml:space="preserve">as </w:t>
      </w:r>
      <w:r w:rsidR="0076101D">
        <w:rPr>
          <w:rFonts w:ascii="Book Antiqua" w:hAnsi="Book Antiqua" w:cs="Arial"/>
        </w:rPr>
        <w:t xml:space="preserve">it is clear that </w:t>
      </w:r>
      <w:r w:rsidR="005660F4">
        <w:rPr>
          <w:rFonts w:ascii="Book Antiqua" w:hAnsi="Book Antiqua" w:cs="Arial"/>
        </w:rPr>
        <w:t>the child’s best interests are a primary consideration to be taken into account, and a child’s best interests would normally require the maintenance of a genuine and effective care by both parents rather than a default position of the absence of any family member to care for the child. On the othe</w:t>
      </w:r>
      <w:r w:rsidR="0076101D">
        <w:rPr>
          <w:rFonts w:ascii="Book Antiqua" w:hAnsi="Book Antiqua" w:cs="Arial"/>
        </w:rPr>
        <w:t xml:space="preserve">r hand the identification of </w:t>
      </w:r>
      <w:r w:rsidR="005660F4">
        <w:rPr>
          <w:rFonts w:ascii="Book Antiqua" w:hAnsi="Book Antiqua" w:cs="Arial"/>
        </w:rPr>
        <w:t xml:space="preserve">seven years residence in the </w:t>
      </w:r>
      <w:smartTag w:uri="urn:schemas-microsoft-com:office:smarttags" w:element="PlaceType">
        <w:r w:rsidR="005660F4">
          <w:rPr>
            <w:rFonts w:ascii="Book Antiqua" w:hAnsi="Book Antiqua" w:cs="Arial"/>
          </w:rPr>
          <w:t>United Kingdom</w:t>
        </w:r>
      </w:smartTag>
      <w:r w:rsidR="0076101D">
        <w:rPr>
          <w:rFonts w:ascii="Book Antiqua" w:hAnsi="Book Antiqua" w:cs="Arial"/>
        </w:rPr>
        <w:t xml:space="preserve">, </w:t>
      </w:r>
      <w:r w:rsidR="005660F4">
        <w:rPr>
          <w:rFonts w:ascii="Book Antiqua" w:hAnsi="Book Antiqua" w:cs="Arial"/>
        </w:rPr>
        <w:t xml:space="preserve">may be a helpful starting point for the assessment of when it would be reasonable to expect a child of whatever nationality to have the company of  a caring parent in the </w:t>
      </w:r>
      <w:smartTag w:uri="urn:schemas-microsoft-com:office:smarttags" w:element="PlaceType">
        <w:r w:rsidR="005660F4">
          <w:rPr>
            <w:rFonts w:ascii="Book Antiqua" w:hAnsi="Book Antiqua" w:cs="Arial"/>
          </w:rPr>
          <w:t>United Kingdom</w:t>
        </w:r>
      </w:smartTag>
      <w:r w:rsidR="005660F4">
        <w:rPr>
          <w:rFonts w:ascii="Book Antiqua" w:hAnsi="Book Antiqua" w:cs="Arial"/>
        </w:rPr>
        <w:t>.</w:t>
      </w:r>
    </w:p>
    <w:p w:rsidR="001E1B02" w:rsidRDefault="001E1B02" w:rsidP="005660F4">
      <w:pPr>
        <w:tabs>
          <w:tab w:val="left" w:pos="567"/>
        </w:tabs>
        <w:jc w:val="both"/>
        <w:rPr>
          <w:rFonts w:ascii="Book Antiqua" w:hAnsi="Book Antiqua" w:cs="Arial"/>
        </w:rPr>
      </w:pPr>
    </w:p>
    <w:p w:rsidR="00374329" w:rsidRDefault="001E1F27" w:rsidP="00592F3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decision under appeal was made after 9 July </w:t>
      </w:r>
      <w:r w:rsidR="0076101D">
        <w:rPr>
          <w:rFonts w:ascii="Book Antiqua" w:hAnsi="Book Antiqua" w:cs="Arial"/>
        </w:rPr>
        <w:t xml:space="preserve">2012 </w:t>
      </w:r>
      <w:r>
        <w:rPr>
          <w:rFonts w:ascii="Book Antiqua" w:hAnsi="Book Antiqua" w:cs="Arial"/>
        </w:rPr>
        <w:t>and s</w:t>
      </w:r>
      <w:r w:rsidR="00F94C3B">
        <w:rPr>
          <w:rFonts w:ascii="Book Antiqua" w:hAnsi="Book Antiqua" w:cs="Arial"/>
        </w:rPr>
        <w:t xml:space="preserve">o the new rules clearly apply. </w:t>
      </w:r>
      <w:r>
        <w:rPr>
          <w:rFonts w:ascii="Book Antiqua" w:hAnsi="Book Antiqua" w:cs="Arial"/>
        </w:rPr>
        <w:t>Unlike t</w:t>
      </w:r>
      <w:r w:rsidR="00C715C1">
        <w:rPr>
          <w:rFonts w:ascii="Book Antiqua" w:hAnsi="Book Antiqua" w:cs="Arial"/>
        </w:rPr>
        <w:t xml:space="preserve">he Tribunal in </w:t>
      </w:r>
      <w:r w:rsidR="00C715C1" w:rsidRPr="00592F3A">
        <w:rPr>
          <w:rFonts w:ascii="Book Antiqua" w:hAnsi="Book Antiqua" w:cs="Arial"/>
          <w:u w:val="single"/>
        </w:rPr>
        <w:t>MF</w:t>
      </w:r>
      <w:r w:rsidR="00C715C1">
        <w:rPr>
          <w:rFonts w:ascii="Book Antiqua" w:hAnsi="Book Antiqua" w:cs="Arial"/>
        </w:rPr>
        <w:t xml:space="preserve"> </w:t>
      </w:r>
      <w:r w:rsidR="00847149">
        <w:rPr>
          <w:rFonts w:ascii="Book Antiqua" w:hAnsi="Book Antiqua" w:cs="Arial"/>
        </w:rPr>
        <w:t xml:space="preserve"> </w:t>
      </w:r>
      <w:r w:rsidR="00C715C1">
        <w:rPr>
          <w:rFonts w:ascii="Book Antiqua" w:hAnsi="Book Antiqua" w:cs="Arial"/>
        </w:rPr>
        <w:t xml:space="preserve">we do not have to grapple with whether the rules can apply to immigration decisions </w:t>
      </w:r>
      <w:r>
        <w:rPr>
          <w:rFonts w:ascii="Book Antiqua" w:hAnsi="Book Antiqua" w:cs="Arial"/>
        </w:rPr>
        <w:t>that have been taken before the new rules were</w:t>
      </w:r>
      <w:r w:rsidR="00C715C1">
        <w:rPr>
          <w:rFonts w:ascii="Book Antiqua" w:hAnsi="Book Antiqua" w:cs="Arial"/>
        </w:rPr>
        <w:t xml:space="preserve"> brought into effect. </w:t>
      </w:r>
      <w:r w:rsidR="0015588E">
        <w:rPr>
          <w:rFonts w:ascii="Book Antiqua" w:hAnsi="Book Antiqua" w:cs="Arial"/>
        </w:rPr>
        <w:t>HC</w:t>
      </w:r>
      <w:r w:rsidR="00592F3A">
        <w:rPr>
          <w:rFonts w:ascii="Book Antiqua" w:hAnsi="Book Antiqua" w:cs="Arial"/>
        </w:rPr>
        <w:t xml:space="preserve"> 194 </w:t>
      </w:r>
      <w:r w:rsidR="00374329">
        <w:rPr>
          <w:rFonts w:ascii="Book Antiqua" w:hAnsi="Book Antiqua" w:cs="Arial"/>
        </w:rPr>
        <w:t xml:space="preserve">Appendix FM </w:t>
      </w:r>
      <w:r w:rsidR="00592F3A">
        <w:rPr>
          <w:rFonts w:ascii="Book Antiqua" w:hAnsi="Book Antiqua" w:cs="Arial"/>
        </w:rPr>
        <w:t>is expressed not to apply to any applicatio</w:t>
      </w:r>
      <w:r>
        <w:rPr>
          <w:rFonts w:ascii="Book Antiqua" w:hAnsi="Book Antiqua" w:cs="Arial"/>
        </w:rPr>
        <w:t>n for entry clearance, leave to</w:t>
      </w:r>
      <w:r w:rsidR="00592F3A">
        <w:rPr>
          <w:rFonts w:ascii="Book Antiqua" w:hAnsi="Book Antiqua" w:cs="Arial"/>
        </w:rPr>
        <w:t xml:space="preserve"> remain or indefinite leave to remain that had been mad</w:t>
      </w:r>
      <w:r w:rsidR="0015588E">
        <w:rPr>
          <w:rFonts w:ascii="Book Antiqua" w:hAnsi="Book Antiqua" w:cs="Arial"/>
        </w:rPr>
        <w:t>e</w:t>
      </w:r>
      <w:r w:rsidR="00374329">
        <w:rPr>
          <w:rFonts w:ascii="Book Antiqua" w:hAnsi="Book Antiqua" w:cs="Arial"/>
        </w:rPr>
        <w:t xml:space="preserve"> and not decided before 8 July, but note that  Rule A 362  provides:</w:t>
      </w:r>
    </w:p>
    <w:p w:rsidR="00374329" w:rsidRDefault="00374329" w:rsidP="00374329">
      <w:pPr>
        <w:tabs>
          <w:tab w:val="left" w:pos="567"/>
        </w:tabs>
        <w:jc w:val="both"/>
        <w:rPr>
          <w:rFonts w:ascii="Book Antiqua" w:hAnsi="Book Antiqua" w:cs="Arial"/>
        </w:rPr>
      </w:pPr>
    </w:p>
    <w:p w:rsidR="00374329" w:rsidRDefault="00374329" w:rsidP="00374329">
      <w:pPr>
        <w:tabs>
          <w:tab w:val="left" w:pos="567"/>
        </w:tabs>
        <w:ind w:left="1134"/>
        <w:jc w:val="both"/>
        <w:rPr>
          <w:rFonts w:ascii="Book Antiqua" w:hAnsi="Book Antiqua" w:cs="Arial"/>
        </w:rPr>
      </w:pPr>
      <w:r>
        <w:rPr>
          <w:rFonts w:ascii="Book Antiqua" w:hAnsi="Book Antiqua" w:cs="Arial"/>
        </w:rPr>
        <w:t>“Where Article 8 is raised in the context of deportation under Part 13 of these Rules, the claim under Article 8 will only succeed where the requirements of these rules as at 9 July 2012 are met regardless of when the notice of intention to deport or the deportation order, as appropriate, was served.”</w:t>
      </w:r>
    </w:p>
    <w:p w:rsidR="00374329" w:rsidRDefault="00374329" w:rsidP="00374329">
      <w:pPr>
        <w:tabs>
          <w:tab w:val="left" w:pos="567"/>
        </w:tabs>
        <w:jc w:val="both"/>
        <w:rPr>
          <w:rFonts w:ascii="Book Antiqua" w:hAnsi="Book Antiqua" w:cs="Arial"/>
        </w:rPr>
      </w:pPr>
    </w:p>
    <w:p w:rsidR="00C715C1" w:rsidRDefault="0076101D" w:rsidP="00592F3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w:t>
      </w:r>
      <w:r w:rsidR="001710FF">
        <w:rPr>
          <w:rFonts w:ascii="Book Antiqua" w:hAnsi="Book Antiqua" w:cs="Arial"/>
        </w:rPr>
        <w:t>r</w:t>
      </w:r>
      <w:r>
        <w:rPr>
          <w:rFonts w:ascii="Book Antiqua" w:hAnsi="Book Antiqua" w:cs="Arial"/>
        </w:rPr>
        <w:t xml:space="preserve">ules themselves are silent </w:t>
      </w:r>
      <w:r w:rsidR="00374329">
        <w:rPr>
          <w:rFonts w:ascii="Book Antiqua" w:hAnsi="Book Antiqua" w:cs="Arial"/>
        </w:rPr>
        <w:t>as to their application</w:t>
      </w:r>
      <w:r>
        <w:rPr>
          <w:rFonts w:ascii="Book Antiqua" w:hAnsi="Book Antiqua" w:cs="Arial"/>
        </w:rPr>
        <w:t xml:space="preserve"> to deportation decisions that are made </w:t>
      </w:r>
      <w:r w:rsidR="00374329">
        <w:rPr>
          <w:rFonts w:ascii="Book Antiqua" w:hAnsi="Book Antiqua" w:cs="Arial"/>
        </w:rPr>
        <w:t xml:space="preserve">and the appeal determined </w:t>
      </w:r>
      <w:r>
        <w:rPr>
          <w:rFonts w:ascii="Book Antiqua" w:hAnsi="Book Antiqua" w:cs="Arial"/>
        </w:rPr>
        <w:t xml:space="preserve">before 9 July but may have to be re-examined later. </w:t>
      </w:r>
      <w:r w:rsidR="0015588E">
        <w:rPr>
          <w:rFonts w:ascii="Book Antiqua" w:hAnsi="Book Antiqua" w:cs="Arial"/>
        </w:rPr>
        <w:t>I</w:t>
      </w:r>
      <w:r w:rsidR="00C715C1">
        <w:rPr>
          <w:rFonts w:ascii="Book Antiqua" w:hAnsi="Book Antiqua" w:cs="Arial"/>
        </w:rPr>
        <w:t xml:space="preserve">t is at least clear that </w:t>
      </w:r>
      <w:r w:rsidR="001E1F27">
        <w:rPr>
          <w:rFonts w:ascii="Book Antiqua" w:hAnsi="Book Antiqua" w:cs="Arial"/>
        </w:rPr>
        <w:t>HC</w:t>
      </w:r>
      <w:r w:rsidR="0015588E">
        <w:rPr>
          <w:rFonts w:ascii="Book Antiqua" w:hAnsi="Book Antiqua" w:cs="Arial"/>
        </w:rPr>
        <w:t xml:space="preserve"> 194 </w:t>
      </w:r>
      <w:r w:rsidR="00C715C1">
        <w:rPr>
          <w:rFonts w:ascii="Book Antiqua" w:hAnsi="Book Antiqua" w:cs="Arial"/>
        </w:rPr>
        <w:t xml:space="preserve">cannot be used to undermine judicial decisions allowing an appeal on Article 8 grounds taken before </w:t>
      </w:r>
      <w:r w:rsidR="0037018D">
        <w:rPr>
          <w:rFonts w:ascii="Book Antiqua" w:hAnsi="Book Antiqua" w:cs="Arial"/>
        </w:rPr>
        <w:t>they came into effect</w:t>
      </w:r>
      <w:r w:rsidR="0015588E">
        <w:rPr>
          <w:rFonts w:ascii="Book Antiqua" w:hAnsi="Book Antiqua" w:cs="Arial"/>
        </w:rPr>
        <w:t>. A</w:t>
      </w:r>
      <w:r w:rsidR="0037018D">
        <w:rPr>
          <w:rFonts w:ascii="Book Antiqua" w:hAnsi="Book Antiqua" w:cs="Arial"/>
        </w:rPr>
        <w:t xml:space="preserve"> retrospective deprivation of the benefit of a favourable decision under the law would be offensive to basic public l</w:t>
      </w:r>
      <w:r w:rsidR="0015588E">
        <w:rPr>
          <w:rFonts w:ascii="Book Antiqua" w:hAnsi="Book Antiqua" w:cs="Arial"/>
        </w:rPr>
        <w:t>aw and human rights principles. E</w:t>
      </w:r>
      <w:r w:rsidR="0037018D">
        <w:rPr>
          <w:rFonts w:ascii="Book Antiqua" w:hAnsi="Book Antiqua" w:cs="Arial"/>
        </w:rPr>
        <w:t xml:space="preserve">qually we can see compelling reasons why a claimant who </w:t>
      </w:r>
      <w:r w:rsidR="001E1F27">
        <w:rPr>
          <w:rFonts w:ascii="Book Antiqua" w:hAnsi="Book Antiqua" w:cs="Arial"/>
        </w:rPr>
        <w:t xml:space="preserve">has or </w:t>
      </w:r>
      <w:r w:rsidR="0037018D">
        <w:rPr>
          <w:rFonts w:ascii="Book Antiqua" w:hAnsi="Book Antiqua" w:cs="Arial"/>
        </w:rPr>
        <w:t xml:space="preserve">should have won an appeal </w:t>
      </w:r>
      <w:r w:rsidR="00374329">
        <w:rPr>
          <w:rFonts w:ascii="Book Antiqua" w:hAnsi="Book Antiqua" w:cs="Arial"/>
        </w:rPr>
        <w:t xml:space="preserve">that has been </w:t>
      </w:r>
      <w:r w:rsidR="0037018D">
        <w:rPr>
          <w:rFonts w:ascii="Book Antiqua" w:hAnsi="Book Antiqua" w:cs="Arial"/>
        </w:rPr>
        <w:t xml:space="preserve">determined by a judge of the First-tier Tribunal before the </w:t>
      </w:r>
      <w:r w:rsidR="0015588E">
        <w:rPr>
          <w:rFonts w:ascii="Book Antiqua" w:hAnsi="Book Antiqua" w:cs="Arial"/>
        </w:rPr>
        <w:t xml:space="preserve">new rules had come into effect </w:t>
      </w:r>
      <w:r w:rsidR="0037018D">
        <w:rPr>
          <w:rFonts w:ascii="Book Antiqua" w:hAnsi="Book Antiqua" w:cs="Arial"/>
        </w:rPr>
        <w:t>should</w:t>
      </w:r>
      <w:r w:rsidR="00BB2F0E">
        <w:rPr>
          <w:rFonts w:ascii="Book Antiqua" w:hAnsi="Book Antiqua" w:cs="Arial"/>
        </w:rPr>
        <w:t xml:space="preserve"> not be </w:t>
      </w:r>
      <w:r w:rsidR="0037018D">
        <w:rPr>
          <w:rFonts w:ascii="Book Antiqua" w:hAnsi="Book Antiqua" w:cs="Arial"/>
        </w:rPr>
        <w:t>deprived of such a benefit, by</w:t>
      </w:r>
      <w:r w:rsidR="001E1F27">
        <w:rPr>
          <w:rFonts w:ascii="Book Antiqua" w:hAnsi="Book Antiqua" w:cs="Arial"/>
        </w:rPr>
        <w:t xml:space="preserve"> virtue of</w:t>
      </w:r>
      <w:r w:rsidR="0037018D">
        <w:rPr>
          <w:rFonts w:ascii="Book Antiqua" w:hAnsi="Book Antiqua" w:cs="Arial"/>
        </w:rPr>
        <w:t xml:space="preserve"> the fact that the judge had made an error of law and the matter had to be remade.</w:t>
      </w:r>
      <w:r w:rsidR="00374329">
        <w:rPr>
          <w:rFonts w:ascii="Book Antiqua" w:hAnsi="Book Antiqua" w:cs="Arial"/>
        </w:rPr>
        <w:t xml:space="preserve"> Otherwise, we can see that a fresh judicial decision </w:t>
      </w:r>
      <w:r w:rsidR="00BB2F0E">
        <w:rPr>
          <w:rFonts w:ascii="Book Antiqua" w:hAnsi="Book Antiqua" w:cs="Arial"/>
        </w:rPr>
        <w:t>on a</w:t>
      </w:r>
      <w:r w:rsidR="00847149">
        <w:rPr>
          <w:rFonts w:ascii="Book Antiqua" w:hAnsi="Book Antiqua" w:cs="Arial"/>
        </w:rPr>
        <w:t xml:space="preserve">n Article 8 claim made after 9 </w:t>
      </w:r>
      <w:r w:rsidR="00BB2F0E">
        <w:rPr>
          <w:rFonts w:ascii="Book Antiqua" w:hAnsi="Book Antiqua" w:cs="Arial"/>
        </w:rPr>
        <w:t>July 2012 should take into account and give appropriate weight to the Secretary of st</w:t>
      </w:r>
      <w:r w:rsidR="001710FF">
        <w:rPr>
          <w:rFonts w:ascii="Book Antiqua" w:hAnsi="Book Antiqua" w:cs="Arial"/>
        </w:rPr>
        <w:t>ate’s policy as set out in the r</w:t>
      </w:r>
      <w:r w:rsidR="00BB2F0E">
        <w:rPr>
          <w:rFonts w:ascii="Book Antiqua" w:hAnsi="Book Antiqua" w:cs="Arial"/>
        </w:rPr>
        <w:t>ules.</w:t>
      </w:r>
    </w:p>
    <w:p w:rsidR="00C715C1" w:rsidRDefault="00C715C1" w:rsidP="00C715C1">
      <w:pPr>
        <w:tabs>
          <w:tab w:val="left" w:pos="567"/>
        </w:tabs>
        <w:jc w:val="both"/>
        <w:rPr>
          <w:rFonts w:ascii="Book Antiqua" w:hAnsi="Book Antiqua" w:cs="Arial"/>
        </w:rPr>
      </w:pPr>
    </w:p>
    <w:p w:rsidR="0037018D" w:rsidRDefault="00C715C1" w:rsidP="0015588E">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We now return to </w:t>
      </w:r>
      <w:r w:rsidR="0015588E">
        <w:rPr>
          <w:rFonts w:ascii="Book Antiqua" w:hAnsi="Book Antiqua" w:cs="Arial"/>
        </w:rPr>
        <w:t xml:space="preserve">consider </w:t>
      </w:r>
      <w:r>
        <w:rPr>
          <w:rFonts w:ascii="Book Antiqua" w:hAnsi="Book Antiqua" w:cs="Arial"/>
        </w:rPr>
        <w:t>the Secretary of State’s s</w:t>
      </w:r>
      <w:r w:rsidR="0015588E">
        <w:rPr>
          <w:rFonts w:ascii="Book Antiqua" w:hAnsi="Book Antiqua" w:cs="Arial"/>
        </w:rPr>
        <w:t>ubmis</w:t>
      </w:r>
      <w:r w:rsidR="001E1F27">
        <w:rPr>
          <w:rFonts w:ascii="Book Antiqua" w:hAnsi="Book Antiqua" w:cs="Arial"/>
        </w:rPr>
        <w:t xml:space="preserve">sions on the status </w:t>
      </w:r>
      <w:r w:rsidR="005660F4">
        <w:rPr>
          <w:rFonts w:ascii="Book Antiqua" w:hAnsi="Book Antiqua" w:cs="Arial"/>
        </w:rPr>
        <w:t>of HC</w:t>
      </w:r>
      <w:r w:rsidR="001E1F27">
        <w:rPr>
          <w:rFonts w:ascii="Book Antiqua" w:hAnsi="Book Antiqua" w:cs="Arial"/>
        </w:rPr>
        <w:t xml:space="preserve"> 194 </w:t>
      </w:r>
      <w:r w:rsidR="0015588E">
        <w:rPr>
          <w:rFonts w:ascii="Book Antiqua" w:hAnsi="Book Antiqua" w:cs="Arial"/>
        </w:rPr>
        <w:t>and its</w:t>
      </w:r>
      <w:r>
        <w:rPr>
          <w:rFonts w:ascii="Book Antiqua" w:hAnsi="Book Antiqua" w:cs="Arial"/>
        </w:rPr>
        <w:t xml:space="preserve"> effect on Article 8 decision making</w:t>
      </w:r>
      <w:r w:rsidR="00374329">
        <w:rPr>
          <w:rFonts w:ascii="Book Antiqua" w:hAnsi="Book Antiqua" w:cs="Arial"/>
        </w:rPr>
        <w:t xml:space="preserve"> where the judge has to decide whether the decision is in accordance with the law</w:t>
      </w:r>
      <w:r w:rsidR="0037018D">
        <w:rPr>
          <w:rFonts w:ascii="Book Antiqua" w:hAnsi="Book Antiqua" w:cs="Arial"/>
        </w:rPr>
        <w:t xml:space="preserve">. </w:t>
      </w:r>
      <w:r w:rsidR="0015588E">
        <w:rPr>
          <w:rFonts w:ascii="Book Antiqua" w:hAnsi="Book Antiqua" w:cs="Arial"/>
        </w:rPr>
        <w:t>In our view, she over-</w:t>
      </w:r>
      <w:r w:rsidR="0037018D">
        <w:rPr>
          <w:rFonts w:ascii="Book Antiqua" w:hAnsi="Book Antiqua" w:cs="Arial"/>
        </w:rPr>
        <w:t>state</w:t>
      </w:r>
      <w:r w:rsidR="00374329">
        <w:rPr>
          <w:rFonts w:ascii="Book Antiqua" w:hAnsi="Book Antiqua" w:cs="Arial"/>
        </w:rPr>
        <w:t>s the significance of the r</w:t>
      </w:r>
      <w:r w:rsidR="0015588E">
        <w:rPr>
          <w:rFonts w:ascii="Book Antiqua" w:hAnsi="Book Antiqua" w:cs="Arial"/>
        </w:rPr>
        <w:t>ule change.</w:t>
      </w:r>
    </w:p>
    <w:p w:rsidR="0037018D" w:rsidRDefault="0037018D" w:rsidP="0037018D">
      <w:pPr>
        <w:tabs>
          <w:tab w:val="left" w:pos="567"/>
        </w:tabs>
        <w:jc w:val="both"/>
        <w:rPr>
          <w:rFonts w:ascii="Book Antiqua" w:hAnsi="Book Antiqua" w:cs="Arial"/>
        </w:rPr>
      </w:pPr>
    </w:p>
    <w:p w:rsidR="0015588E" w:rsidRDefault="0037018D" w:rsidP="0037018D">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First, the reference to Par</w:t>
      </w:r>
      <w:r w:rsidR="001E1F27">
        <w:rPr>
          <w:rFonts w:ascii="Book Antiqua" w:hAnsi="Book Antiqua" w:cs="Arial"/>
        </w:rPr>
        <w:t xml:space="preserve">liament’s approval of HC 194 </w:t>
      </w:r>
      <w:r>
        <w:rPr>
          <w:rFonts w:ascii="Book Antiqua" w:hAnsi="Book Antiqua" w:cs="Arial"/>
        </w:rPr>
        <w:t>seems an attempt to approximate the rules to a statutory assessment of the balance between competing interest</w:t>
      </w:r>
      <w:r w:rsidR="00C20C5A">
        <w:rPr>
          <w:rFonts w:ascii="Book Antiqua" w:hAnsi="Book Antiqua" w:cs="Arial"/>
        </w:rPr>
        <w:t>s</w:t>
      </w:r>
      <w:r>
        <w:rPr>
          <w:rFonts w:ascii="Book Antiqua" w:hAnsi="Book Antiqua" w:cs="Arial"/>
        </w:rPr>
        <w:t xml:space="preserve"> such as that considered by the House of Lords in </w:t>
      </w:r>
      <w:r w:rsidRPr="003676CE">
        <w:rPr>
          <w:rFonts w:ascii="Book Antiqua" w:hAnsi="Book Antiqua" w:cs="Arial"/>
          <w:u w:val="single"/>
        </w:rPr>
        <w:t>Kay v Lambeth Borough Council</w:t>
      </w:r>
      <w:r>
        <w:rPr>
          <w:rFonts w:ascii="Book Antiqua" w:hAnsi="Book Antiqua" w:cs="Arial"/>
        </w:rPr>
        <w:t xml:space="preserve"> [2006] 2 AC 465 on which the Secretary of State placed reliance in her submissions in the case of </w:t>
      </w:r>
      <w:r w:rsidRPr="0037018D">
        <w:rPr>
          <w:rFonts w:ascii="Book Antiqua" w:hAnsi="Book Antiqua" w:cs="Arial"/>
          <w:u w:val="single"/>
        </w:rPr>
        <w:t>Huang</w:t>
      </w:r>
      <w:r w:rsidR="0015588E">
        <w:rPr>
          <w:rFonts w:ascii="Book Antiqua" w:hAnsi="Book Antiqua" w:cs="Arial"/>
        </w:rPr>
        <w:t xml:space="preserve"> </w:t>
      </w:r>
      <w:r>
        <w:rPr>
          <w:rFonts w:ascii="Book Antiqua" w:hAnsi="Book Antiqua" w:cs="Arial"/>
        </w:rPr>
        <w:t xml:space="preserve">(loc cit) see [17]. </w:t>
      </w:r>
    </w:p>
    <w:p w:rsidR="0015588E" w:rsidRDefault="0015588E" w:rsidP="0015588E">
      <w:pPr>
        <w:tabs>
          <w:tab w:val="left" w:pos="567"/>
        </w:tabs>
        <w:jc w:val="both"/>
        <w:rPr>
          <w:rFonts w:ascii="Book Antiqua" w:hAnsi="Book Antiqua" w:cs="Arial"/>
        </w:rPr>
      </w:pPr>
    </w:p>
    <w:p w:rsidR="004A1A1C" w:rsidRDefault="0015588E" w:rsidP="0037018D">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We cannot agree, for the following reasons</w:t>
      </w:r>
      <w:r w:rsidR="00374329">
        <w:rPr>
          <w:rFonts w:ascii="Book Antiqua" w:hAnsi="Book Antiqua" w:cs="Arial"/>
        </w:rPr>
        <w:t>:</w:t>
      </w:r>
    </w:p>
    <w:p w:rsidR="0037018D" w:rsidRDefault="0037018D" w:rsidP="0037018D">
      <w:pPr>
        <w:tabs>
          <w:tab w:val="left" w:pos="567"/>
        </w:tabs>
        <w:jc w:val="both"/>
        <w:rPr>
          <w:rFonts w:ascii="Book Antiqua" w:hAnsi="Book Antiqua" w:cs="Arial"/>
        </w:rPr>
      </w:pPr>
    </w:p>
    <w:p w:rsidR="0037018D" w:rsidRDefault="0037018D" w:rsidP="0081312A">
      <w:pPr>
        <w:numPr>
          <w:ilvl w:val="3"/>
          <w:numId w:val="1"/>
        </w:numPr>
        <w:tabs>
          <w:tab w:val="clear" w:pos="3447"/>
          <w:tab w:val="left" w:pos="567"/>
          <w:tab w:val="num" w:pos="1260"/>
        </w:tabs>
        <w:ind w:hanging="2187"/>
        <w:jc w:val="both"/>
        <w:rPr>
          <w:rFonts w:ascii="Book Antiqua" w:hAnsi="Book Antiqua" w:cs="Arial"/>
        </w:rPr>
      </w:pPr>
      <w:r>
        <w:rPr>
          <w:rFonts w:ascii="Book Antiqua" w:hAnsi="Book Antiqua" w:cs="Arial"/>
        </w:rPr>
        <w:t>Lord Bingham’</w:t>
      </w:r>
      <w:r w:rsidR="0099672B">
        <w:rPr>
          <w:rFonts w:ascii="Book Antiqua" w:hAnsi="Book Antiqua" w:cs="Arial"/>
        </w:rPr>
        <w:t>s a</w:t>
      </w:r>
      <w:r>
        <w:rPr>
          <w:rFonts w:ascii="Book Antiqua" w:hAnsi="Book Antiqua" w:cs="Arial"/>
        </w:rPr>
        <w:t>n</w:t>
      </w:r>
      <w:r w:rsidR="0099672B">
        <w:rPr>
          <w:rFonts w:ascii="Book Antiqua" w:hAnsi="Book Antiqua" w:cs="Arial"/>
        </w:rPr>
        <w:t>swe</w:t>
      </w:r>
      <w:r>
        <w:rPr>
          <w:rFonts w:ascii="Book Antiqua" w:hAnsi="Book Antiqua" w:cs="Arial"/>
        </w:rPr>
        <w:t>r to the point remains a good one:</w:t>
      </w:r>
    </w:p>
    <w:p w:rsidR="0099672B" w:rsidRDefault="0099672B" w:rsidP="0099672B">
      <w:pPr>
        <w:tabs>
          <w:tab w:val="left" w:pos="567"/>
        </w:tabs>
        <w:ind w:left="2268"/>
        <w:jc w:val="both"/>
        <w:rPr>
          <w:rFonts w:ascii="Book Antiqua" w:hAnsi="Book Antiqua" w:cs="Arial"/>
        </w:rPr>
      </w:pPr>
      <w:r>
        <w:rPr>
          <w:rFonts w:ascii="Book Antiqua" w:hAnsi="Book Antiqua" w:cs="Arial"/>
        </w:rPr>
        <w:tab/>
      </w:r>
    </w:p>
    <w:p w:rsidR="0099672B" w:rsidRDefault="0099672B" w:rsidP="0099672B">
      <w:pPr>
        <w:tabs>
          <w:tab w:val="left" w:pos="567"/>
        </w:tabs>
        <w:ind w:left="2268"/>
        <w:jc w:val="both"/>
        <w:rPr>
          <w:rFonts w:ascii="Book Antiqua" w:hAnsi="Book Antiqua" w:cs="Arial"/>
        </w:rPr>
      </w:pPr>
      <w:r>
        <w:rPr>
          <w:rFonts w:ascii="Book Antiqua" w:hAnsi="Book Antiqua" w:cs="Arial"/>
        </w:rPr>
        <w:t>“the Immigration Rules</w:t>
      </w:r>
      <w:r w:rsidR="0015588E">
        <w:rPr>
          <w:rFonts w:ascii="Book Antiqua" w:hAnsi="Book Antiqua" w:cs="Arial"/>
        </w:rPr>
        <w:t xml:space="preserve"> and supplementary instructions</w:t>
      </w:r>
      <w:r>
        <w:rPr>
          <w:rFonts w:ascii="Book Antiqua" w:hAnsi="Book Antiqua" w:cs="Arial"/>
        </w:rPr>
        <w:t xml:space="preserve"> are not the product of active debate in Parliament where non-nationals seeking leave to remain are in any event represented”</w:t>
      </w:r>
    </w:p>
    <w:p w:rsidR="0099672B" w:rsidRDefault="0099672B" w:rsidP="0099672B">
      <w:pPr>
        <w:tabs>
          <w:tab w:val="left" w:pos="567"/>
        </w:tabs>
        <w:ind w:left="2268"/>
        <w:jc w:val="both"/>
        <w:rPr>
          <w:rFonts w:ascii="Book Antiqua" w:hAnsi="Book Antiqua" w:cs="Arial"/>
        </w:rPr>
      </w:pPr>
    </w:p>
    <w:p w:rsidR="00071DA6" w:rsidRDefault="00071DA6" w:rsidP="00071DA6">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 xml:space="preserve"> </w:t>
      </w:r>
      <w:r w:rsidR="003676CE">
        <w:rPr>
          <w:rFonts w:ascii="Book Antiqua" w:hAnsi="Book Antiqua" w:cs="Arial"/>
        </w:rPr>
        <w:t xml:space="preserve">Only the Parliamentary process for primary legislation permits a clause by clause discussion of the measures, with opportunity for amendments and revision. </w:t>
      </w:r>
    </w:p>
    <w:p w:rsidR="00071DA6" w:rsidRDefault="00071DA6" w:rsidP="00071DA6">
      <w:pPr>
        <w:tabs>
          <w:tab w:val="left" w:pos="567"/>
        </w:tabs>
        <w:ind w:left="1260"/>
        <w:jc w:val="both"/>
        <w:rPr>
          <w:rFonts w:ascii="Book Antiqua" w:hAnsi="Book Antiqua" w:cs="Arial"/>
        </w:rPr>
      </w:pPr>
    </w:p>
    <w:p w:rsidR="00071DA6" w:rsidRDefault="003676CE" w:rsidP="00071DA6">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 xml:space="preserve">By comparison, we accept the claimant’s contention that the procedure adopted here provided a weak form of Parliamentary scrutiny: see </w:t>
      </w:r>
      <w:r w:rsidRPr="00DC33E7">
        <w:rPr>
          <w:rFonts w:ascii="Book Antiqua" w:hAnsi="Book Antiqua" w:cs="Arial"/>
          <w:u w:val="single"/>
        </w:rPr>
        <w:t>R (Stellato) v SSHD</w:t>
      </w:r>
      <w:r>
        <w:rPr>
          <w:rFonts w:ascii="Book Antiqua" w:hAnsi="Book Antiqua" w:cs="Arial"/>
        </w:rPr>
        <w:t xml:space="preserve"> [2007] UKHL 5, [2007] 2 AC  70 at [12].</w:t>
      </w:r>
    </w:p>
    <w:p w:rsidR="00071DA6" w:rsidRDefault="00071DA6" w:rsidP="00071DA6">
      <w:pPr>
        <w:tabs>
          <w:tab w:val="left" w:pos="567"/>
        </w:tabs>
        <w:jc w:val="both"/>
        <w:rPr>
          <w:rFonts w:ascii="Book Antiqua" w:hAnsi="Book Antiqua" w:cs="Arial"/>
        </w:rPr>
      </w:pPr>
    </w:p>
    <w:p w:rsidR="0099672B" w:rsidRDefault="0099672B" w:rsidP="00071DA6">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There may have been more act</w:t>
      </w:r>
      <w:r w:rsidR="003676CE">
        <w:rPr>
          <w:rFonts w:ascii="Book Antiqua" w:hAnsi="Book Antiqua" w:cs="Arial"/>
        </w:rPr>
        <w:t xml:space="preserve">ive debate of the new rules in </w:t>
      </w:r>
      <w:r>
        <w:rPr>
          <w:rFonts w:ascii="Book Antiqua" w:hAnsi="Book Antiqua" w:cs="Arial"/>
        </w:rPr>
        <w:t>the House of Commons than is often the case under the negative procedure resolution, but the House of Commons is not Parliament and it has long been the law that a resolution of the House of Commons is not given supremacy akin to pr</w:t>
      </w:r>
      <w:r w:rsidR="0015588E">
        <w:rPr>
          <w:rFonts w:ascii="Book Antiqua" w:hAnsi="Book Antiqua" w:cs="Arial"/>
        </w:rPr>
        <w:t xml:space="preserve">imary legislation by the court: see </w:t>
      </w:r>
      <w:r w:rsidRPr="00791984">
        <w:rPr>
          <w:rFonts w:ascii="Book Antiqua" w:hAnsi="Book Antiqua" w:cs="Arial"/>
          <w:u w:val="single"/>
        </w:rPr>
        <w:t>Stockdale v Hansard</w:t>
      </w:r>
      <w:r>
        <w:rPr>
          <w:rFonts w:ascii="Book Antiqua" w:hAnsi="Book Antiqua" w:cs="Arial"/>
        </w:rPr>
        <w:t xml:space="preserve"> (1839) 9 A and E 1.  The position has been succinctly summarised by A.W.Bradley and K D Ewing  </w:t>
      </w:r>
      <w:r w:rsidRPr="001E1F27">
        <w:rPr>
          <w:rFonts w:ascii="Book Antiqua" w:hAnsi="Book Antiqua" w:cs="Arial"/>
          <w:i/>
        </w:rPr>
        <w:t>Constitutional and Administrative Law</w:t>
      </w:r>
      <w:r>
        <w:rPr>
          <w:rFonts w:ascii="Book Antiqua" w:hAnsi="Book Antiqua" w:cs="Arial"/>
        </w:rPr>
        <w:t xml:space="preserve"> (15</w:t>
      </w:r>
      <w:r w:rsidRPr="00A16DB1">
        <w:rPr>
          <w:rFonts w:ascii="Book Antiqua" w:hAnsi="Book Antiqua" w:cs="Arial"/>
          <w:vertAlign w:val="superscript"/>
        </w:rPr>
        <w:t>th</w:t>
      </w:r>
      <w:r>
        <w:rPr>
          <w:rFonts w:ascii="Book Antiqua" w:hAnsi="Book Antiqua" w:cs="Arial"/>
        </w:rPr>
        <w:t xml:space="preserve"> Edition 2011 p.54):</w:t>
      </w:r>
    </w:p>
    <w:p w:rsidR="0099672B" w:rsidRDefault="0099672B" w:rsidP="0099672B">
      <w:pPr>
        <w:tabs>
          <w:tab w:val="left" w:pos="567"/>
        </w:tabs>
        <w:jc w:val="both"/>
        <w:rPr>
          <w:rFonts w:ascii="Book Antiqua" w:hAnsi="Book Antiqua" w:cs="Arial"/>
        </w:rPr>
      </w:pPr>
    </w:p>
    <w:p w:rsidR="0099672B" w:rsidRDefault="0099672B" w:rsidP="0099672B">
      <w:pPr>
        <w:tabs>
          <w:tab w:val="left" w:pos="567"/>
        </w:tabs>
        <w:ind w:left="2268"/>
        <w:jc w:val="both"/>
        <w:rPr>
          <w:rFonts w:ascii="Book Antiqua" w:hAnsi="Book Antiqua" w:cs="Arial"/>
        </w:rPr>
      </w:pPr>
      <w:r>
        <w:rPr>
          <w:rFonts w:ascii="Book Antiqua" w:hAnsi="Book Antiqua" w:cs="Arial"/>
        </w:rPr>
        <w:tab/>
        <w:t>“An Act of Parliament has legal force which the courts are not willing to ascribe to other instruments which for one reason or another fall short of that pre-eminent status. Thus the following instruments do not enjoy legislative supremacy and the courts will if necessary decide whether or not they have legal effect: a) a resolution of the House of Commons”</w:t>
      </w:r>
    </w:p>
    <w:p w:rsidR="0099672B" w:rsidRDefault="0099672B" w:rsidP="0099672B">
      <w:pPr>
        <w:tabs>
          <w:tab w:val="left" w:pos="567"/>
        </w:tabs>
        <w:jc w:val="both"/>
        <w:rPr>
          <w:rFonts w:ascii="Book Antiqua" w:hAnsi="Book Antiqua" w:cs="Arial"/>
        </w:rPr>
      </w:pPr>
    </w:p>
    <w:p w:rsidR="00071DA6" w:rsidRDefault="003676CE" w:rsidP="00071DA6">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 xml:space="preserve">Just as in the case of </w:t>
      </w:r>
      <w:r w:rsidRPr="00DC33E7">
        <w:rPr>
          <w:rFonts w:ascii="Book Antiqua" w:hAnsi="Book Antiqua" w:cs="Arial"/>
          <w:u w:val="single"/>
        </w:rPr>
        <w:t>Huang</w:t>
      </w:r>
      <w:r>
        <w:rPr>
          <w:rFonts w:ascii="Book Antiqua" w:hAnsi="Book Antiqua" w:cs="Arial"/>
        </w:rPr>
        <w:t xml:space="preserve">, Parliament has not altered the </w:t>
      </w:r>
      <w:r w:rsidR="001E1F27">
        <w:rPr>
          <w:rFonts w:ascii="Book Antiqua" w:hAnsi="Book Antiqua" w:cs="Arial"/>
        </w:rPr>
        <w:t>legal duty</w:t>
      </w:r>
      <w:r>
        <w:rPr>
          <w:rFonts w:ascii="Book Antiqua" w:hAnsi="Book Antiqua" w:cs="Arial"/>
        </w:rPr>
        <w:t xml:space="preserve"> of </w:t>
      </w:r>
      <w:r w:rsidR="00DC33E7">
        <w:rPr>
          <w:rFonts w:ascii="Book Antiqua" w:hAnsi="Book Antiqua" w:cs="Arial"/>
        </w:rPr>
        <w:t>the</w:t>
      </w:r>
      <w:r w:rsidR="0015588E">
        <w:rPr>
          <w:rFonts w:ascii="Book Antiqua" w:hAnsi="Book Antiqua" w:cs="Arial"/>
        </w:rPr>
        <w:t xml:space="preserve"> judge</w:t>
      </w:r>
      <w:r w:rsidR="001E1F27">
        <w:rPr>
          <w:rFonts w:ascii="Book Antiqua" w:hAnsi="Book Antiqua" w:cs="Arial"/>
        </w:rPr>
        <w:t xml:space="preserve"> determining appeals in both Chambers</w:t>
      </w:r>
      <w:r>
        <w:rPr>
          <w:rFonts w:ascii="Book Antiqua" w:hAnsi="Book Antiqua" w:cs="Arial"/>
        </w:rPr>
        <w:t>, to decide on proportionality for him or herself.</w:t>
      </w:r>
    </w:p>
    <w:p w:rsidR="00071DA6" w:rsidRDefault="00071DA6" w:rsidP="00071DA6">
      <w:pPr>
        <w:tabs>
          <w:tab w:val="left" w:pos="567"/>
        </w:tabs>
        <w:ind w:left="1260"/>
        <w:jc w:val="both"/>
        <w:rPr>
          <w:rFonts w:ascii="Book Antiqua" w:hAnsi="Book Antiqua" w:cs="Arial"/>
        </w:rPr>
      </w:pPr>
    </w:p>
    <w:p w:rsidR="00071DA6" w:rsidRDefault="0015588E" w:rsidP="00071DA6">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 xml:space="preserve"> A claimant who relies on A</w:t>
      </w:r>
      <w:r w:rsidR="003676CE">
        <w:rPr>
          <w:rFonts w:ascii="Book Antiqua" w:hAnsi="Book Antiqua" w:cs="Arial"/>
        </w:rPr>
        <w:t xml:space="preserve">rticle 8 will </w:t>
      </w:r>
      <w:r w:rsidR="001E1F27">
        <w:rPr>
          <w:rFonts w:ascii="Book Antiqua" w:hAnsi="Book Antiqua" w:cs="Arial"/>
        </w:rPr>
        <w:t xml:space="preserve">by definition </w:t>
      </w:r>
      <w:r w:rsidR="003676CE">
        <w:rPr>
          <w:rFonts w:ascii="Book Antiqua" w:hAnsi="Book Antiqua" w:cs="Arial"/>
        </w:rPr>
        <w:t>ha</w:t>
      </w:r>
      <w:r w:rsidR="001E1F27">
        <w:rPr>
          <w:rFonts w:ascii="Book Antiqua" w:hAnsi="Book Antiqua" w:cs="Arial"/>
        </w:rPr>
        <w:t xml:space="preserve">ve failed to succeed under the rules but </w:t>
      </w:r>
      <w:r w:rsidR="003676CE">
        <w:rPr>
          <w:rFonts w:ascii="Book Antiqua" w:hAnsi="Book Antiqua" w:cs="Arial"/>
        </w:rPr>
        <w:t xml:space="preserve">may succeed </w:t>
      </w:r>
      <w:r w:rsidR="001E1F27">
        <w:rPr>
          <w:rFonts w:ascii="Book Antiqua" w:hAnsi="Book Antiqua" w:cs="Arial"/>
        </w:rPr>
        <w:t xml:space="preserve">under the law </w:t>
      </w:r>
      <w:r w:rsidR="003676CE">
        <w:rPr>
          <w:rFonts w:ascii="Book Antiqua" w:hAnsi="Book Antiqua" w:cs="Arial"/>
        </w:rPr>
        <w:t xml:space="preserve">on Article 8 </w:t>
      </w:r>
      <w:r w:rsidR="001E1F27">
        <w:rPr>
          <w:rFonts w:ascii="Book Antiqua" w:hAnsi="Book Antiqua" w:cs="Arial"/>
        </w:rPr>
        <w:t xml:space="preserve">grounds </w:t>
      </w:r>
      <w:r w:rsidR="003676CE">
        <w:rPr>
          <w:rFonts w:ascii="Book Antiqua" w:hAnsi="Book Antiqua" w:cs="Arial"/>
        </w:rPr>
        <w:t xml:space="preserve">despite the </w:t>
      </w:r>
      <w:r w:rsidR="00DC33E7">
        <w:rPr>
          <w:rFonts w:ascii="Book Antiqua" w:hAnsi="Book Antiqua" w:cs="Arial"/>
        </w:rPr>
        <w:t>provisions of the rules.</w:t>
      </w:r>
      <w:r w:rsidR="001710FF">
        <w:rPr>
          <w:rFonts w:ascii="Book Antiqua" w:hAnsi="Book Antiqua" w:cs="Arial"/>
        </w:rPr>
        <w:t xml:space="preserve">  A failure to comply with the r</w:t>
      </w:r>
      <w:r w:rsidR="00DC33E7">
        <w:rPr>
          <w:rFonts w:ascii="Book Antiqua" w:hAnsi="Book Antiqua" w:cs="Arial"/>
        </w:rPr>
        <w:t>ules thus remains the starting point of the Article 8 inquiry and not i</w:t>
      </w:r>
      <w:r w:rsidR="001E1F27">
        <w:rPr>
          <w:rFonts w:ascii="Book Antiqua" w:hAnsi="Book Antiqua" w:cs="Arial"/>
        </w:rPr>
        <w:t>t</w:t>
      </w:r>
      <w:r w:rsidR="00DC33E7">
        <w:rPr>
          <w:rFonts w:ascii="Book Antiqua" w:hAnsi="Book Antiqua" w:cs="Arial"/>
        </w:rPr>
        <w:t>s conclusion.</w:t>
      </w:r>
      <w:r w:rsidR="003676CE">
        <w:rPr>
          <w:rFonts w:ascii="Book Antiqua" w:hAnsi="Book Antiqua" w:cs="Arial"/>
        </w:rPr>
        <w:t xml:space="preserve"> </w:t>
      </w:r>
      <w:r w:rsidR="0099672B">
        <w:rPr>
          <w:rFonts w:ascii="Book Antiqua" w:hAnsi="Book Antiqua" w:cs="Arial"/>
        </w:rPr>
        <w:t xml:space="preserve"> </w:t>
      </w:r>
    </w:p>
    <w:p w:rsidR="00071DA6" w:rsidRDefault="00071DA6" w:rsidP="00071DA6">
      <w:pPr>
        <w:tabs>
          <w:tab w:val="left" w:pos="567"/>
        </w:tabs>
        <w:jc w:val="both"/>
        <w:rPr>
          <w:rFonts w:ascii="Book Antiqua" w:hAnsi="Book Antiqua" w:cs="Arial"/>
        </w:rPr>
      </w:pPr>
    </w:p>
    <w:p w:rsidR="001E1F27" w:rsidRDefault="00071DA6" w:rsidP="001E1F27">
      <w:pPr>
        <w:numPr>
          <w:ilvl w:val="3"/>
          <w:numId w:val="1"/>
        </w:numPr>
        <w:tabs>
          <w:tab w:val="clear" w:pos="3447"/>
          <w:tab w:val="left" w:pos="567"/>
        </w:tabs>
        <w:ind w:left="1620" w:hanging="360"/>
        <w:jc w:val="both"/>
        <w:rPr>
          <w:rFonts w:ascii="Book Antiqua" w:hAnsi="Book Antiqua" w:cs="Arial"/>
        </w:rPr>
      </w:pPr>
      <w:r>
        <w:rPr>
          <w:rFonts w:ascii="Book Antiqua" w:hAnsi="Book Antiqua" w:cs="Arial"/>
        </w:rPr>
        <w:t xml:space="preserve"> </w:t>
      </w:r>
      <w:r w:rsidR="00DC33E7">
        <w:rPr>
          <w:rFonts w:ascii="Book Antiqua" w:hAnsi="Book Antiqua" w:cs="Arial"/>
        </w:rPr>
        <w:t>There is a significant difference between broad issues of social policy and individual immigration decisions where there is private and/o</w:t>
      </w:r>
      <w:r w:rsidR="001E1F27">
        <w:rPr>
          <w:rFonts w:ascii="Book Antiqua" w:hAnsi="Book Antiqua" w:cs="Arial"/>
        </w:rPr>
        <w:t xml:space="preserve">r family life to be respected. </w:t>
      </w:r>
      <w:r w:rsidR="0015588E">
        <w:rPr>
          <w:rFonts w:ascii="Book Antiqua" w:hAnsi="Book Antiqua" w:cs="Arial"/>
        </w:rPr>
        <w:t>This is not a situation where Parliament has chosen to interfere with the rights of property holders by enabling tenants to enfranchise see (</w:t>
      </w:r>
      <w:r w:rsidR="0015588E" w:rsidRPr="0015588E">
        <w:rPr>
          <w:rFonts w:ascii="Book Antiqua" w:hAnsi="Book Antiqua" w:cs="Arial"/>
          <w:u w:val="single"/>
        </w:rPr>
        <w:t xml:space="preserve">James v </w:t>
      </w:r>
      <w:smartTag w:uri="urn:schemas-microsoft-com:office:smarttags" w:element="PlaceType">
        <w:r w:rsidR="0015588E" w:rsidRPr="0015588E">
          <w:rPr>
            <w:rFonts w:ascii="Book Antiqua" w:hAnsi="Book Antiqua" w:cs="Arial"/>
            <w:u w:val="single"/>
          </w:rPr>
          <w:t>United Kingdom</w:t>
        </w:r>
      </w:smartTag>
      <w:r>
        <w:rPr>
          <w:rFonts w:ascii="Book Antiqua" w:hAnsi="Book Antiqua" w:cs="Arial"/>
        </w:rPr>
        <w:t xml:space="preserve"> </w:t>
      </w:r>
      <w:r>
        <w:rPr>
          <w:rFonts w:ascii="Book Antiqua" w:hAnsi="Book Antiqua" w:cs="Arial"/>
          <w:sz w:val="22"/>
          <w:szCs w:val="22"/>
        </w:rPr>
        <w:t>[</w:t>
      </w:r>
      <w:r w:rsidRPr="00071DA6">
        <w:rPr>
          <w:rFonts w:ascii="Book Antiqua" w:hAnsi="Book Antiqua"/>
        </w:rPr>
        <w:t>1986] 8 EHRR 123</w:t>
      </w:r>
      <w:r w:rsidR="00BB2F0E">
        <w:rPr>
          <w:rFonts w:ascii="Book Antiqua" w:hAnsi="Book Antiqua" w:cs="Arial"/>
        </w:rPr>
        <w:t xml:space="preserve">, or when a court is </w:t>
      </w:r>
      <w:r w:rsidR="0015588E">
        <w:rPr>
          <w:rFonts w:ascii="Book Antiqua" w:hAnsi="Book Antiqua" w:cs="Arial"/>
        </w:rPr>
        <w:t>able to prolong residence as a home beyond legal entitlement (</w:t>
      </w:r>
      <w:r w:rsidR="0015588E" w:rsidRPr="0015588E">
        <w:rPr>
          <w:rFonts w:ascii="Book Antiqua" w:hAnsi="Book Antiqua" w:cs="Arial"/>
          <w:u w:val="single"/>
        </w:rPr>
        <w:t xml:space="preserve">Kay v </w:t>
      </w:r>
      <w:r w:rsidR="00FF7B51" w:rsidRPr="0015588E">
        <w:rPr>
          <w:rFonts w:ascii="Book Antiqua" w:hAnsi="Book Antiqua" w:cs="Arial"/>
          <w:u w:val="single"/>
        </w:rPr>
        <w:t xml:space="preserve">Lambeth </w:t>
      </w:r>
      <w:smartTag w:uri="urn:schemas-microsoft-com:office:smarttags" w:element="PlaceType">
        <w:r w:rsidR="0015588E" w:rsidRPr="0015588E">
          <w:rPr>
            <w:rFonts w:ascii="Book Antiqua" w:hAnsi="Book Antiqua" w:cs="Arial"/>
            <w:u w:val="single"/>
          </w:rPr>
          <w:t>London</w:t>
        </w:r>
      </w:smartTag>
      <w:r w:rsidR="0015588E" w:rsidRPr="0015588E">
        <w:rPr>
          <w:rFonts w:ascii="Book Antiqua" w:hAnsi="Book Antiqua" w:cs="Arial"/>
          <w:u w:val="single"/>
        </w:rPr>
        <w:t xml:space="preserve"> Borough </w:t>
      </w:r>
      <w:r w:rsidR="00FF7B51">
        <w:rPr>
          <w:rFonts w:ascii="Book Antiqua" w:hAnsi="Book Antiqua" w:cs="Arial"/>
          <w:u w:val="single"/>
        </w:rPr>
        <w:t xml:space="preserve">Council </w:t>
      </w:r>
      <w:r w:rsidR="00FF7B51" w:rsidRPr="00FF7B51">
        <w:rPr>
          <w:rFonts w:ascii="Book Antiqua" w:hAnsi="Book Antiqua" w:cs="Arial"/>
        </w:rPr>
        <w:t>[2006] 2 AC 465</w:t>
      </w:r>
      <w:r w:rsidR="0015588E" w:rsidRPr="00FF7B51">
        <w:rPr>
          <w:rFonts w:ascii="Book Antiqua" w:hAnsi="Book Antiqua" w:cs="Arial"/>
        </w:rPr>
        <w:t>)</w:t>
      </w:r>
      <w:r w:rsidR="001E1F27" w:rsidRPr="00FF7B51">
        <w:rPr>
          <w:rFonts w:ascii="Book Antiqua" w:hAnsi="Book Antiqua" w:cs="Arial"/>
        </w:rPr>
        <w:t>.</w:t>
      </w:r>
    </w:p>
    <w:p w:rsidR="001E1F27" w:rsidRDefault="001E1F27" w:rsidP="001E1F27">
      <w:pPr>
        <w:tabs>
          <w:tab w:val="left" w:pos="567"/>
        </w:tabs>
        <w:jc w:val="both"/>
        <w:rPr>
          <w:rFonts w:ascii="Book Antiqua" w:hAnsi="Book Antiqua" w:cs="Arial"/>
        </w:rPr>
      </w:pPr>
    </w:p>
    <w:p w:rsidR="00DC33E7" w:rsidRDefault="00374329" w:rsidP="005660F4">
      <w:pPr>
        <w:numPr>
          <w:ilvl w:val="3"/>
          <w:numId w:val="1"/>
        </w:numPr>
        <w:tabs>
          <w:tab w:val="clear" w:pos="3447"/>
          <w:tab w:val="left" w:pos="567"/>
        </w:tabs>
        <w:ind w:left="1620" w:hanging="540"/>
        <w:jc w:val="both"/>
        <w:rPr>
          <w:rFonts w:ascii="Book Antiqua" w:hAnsi="Book Antiqua" w:cs="Arial"/>
        </w:rPr>
      </w:pPr>
      <w:r>
        <w:rPr>
          <w:rFonts w:ascii="Book Antiqua" w:hAnsi="Book Antiqua" w:cs="Arial"/>
        </w:rPr>
        <w:t xml:space="preserve"> </w:t>
      </w:r>
      <w:r w:rsidR="00DC33E7">
        <w:rPr>
          <w:rFonts w:ascii="Book Antiqua" w:hAnsi="Book Antiqua" w:cs="Arial"/>
        </w:rPr>
        <w:t>We note</w:t>
      </w:r>
      <w:r w:rsidR="00071DA6">
        <w:rPr>
          <w:rFonts w:ascii="Book Antiqua" w:hAnsi="Book Antiqua" w:cs="Arial"/>
        </w:rPr>
        <w:t>,</w:t>
      </w:r>
      <w:r w:rsidR="00DC33E7">
        <w:rPr>
          <w:rFonts w:ascii="Book Antiqua" w:hAnsi="Book Antiqua" w:cs="Arial"/>
        </w:rPr>
        <w:t xml:space="preserve"> in any event, </w:t>
      </w:r>
      <w:r w:rsidR="005759B5">
        <w:rPr>
          <w:rFonts w:ascii="Book Antiqua" w:hAnsi="Book Antiqua" w:cs="Arial"/>
        </w:rPr>
        <w:t>that as</w:t>
      </w:r>
      <w:r w:rsidR="00DC33E7">
        <w:rPr>
          <w:rFonts w:ascii="Book Antiqua" w:hAnsi="Book Antiqua" w:cs="Arial"/>
        </w:rPr>
        <w:t xml:space="preserve"> the Article 8 case law </w:t>
      </w:r>
      <w:r w:rsidR="007A62F2">
        <w:rPr>
          <w:rFonts w:ascii="Book Antiqua" w:hAnsi="Book Antiqua" w:cs="Arial"/>
        </w:rPr>
        <w:t xml:space="preserve">has developed </w:t>
      </w:r>
      <w:r w:rsidR="00DC33E7">
        <w:rPr>
          <w:rFonts w:ascii="Book Antiqua" w:hAnsi="Book Antiqua" w:cs="Arial"/>
        </w:rPr>
        <w:t xml:space="preserve"> </w:t>
      </w:r>
      <w:r w:rsidR="00DC33E7" w:rsidRPr="00DC33E7">
        <w:rPr>
          <w:rFonts w:ascii="Book Antiqua" w:hAnsi="Book Antiqua" w:cs="Arial"/>
          <w:u w:val="single"/>
        </w:rPr>
        <w:t>Pinnock v Manchester Corporation</w:t>
      </w:r>
      <w:r w:rsidR="0015588E" w:rsidRPr="007B4B71">
        <w:rPr>
          <w:rFonts w:ascii="Book Antiqua" w:hAnsi="Book Antiqua" w:cs="Arial"/>
        </w:rPr>
        <w:t xml:space="preserve"> </w:t>
      </w:r>
      <w:r w:rsidR="00FF7B51">
        <w:rPr>
          <w:rFonts w:ascii="Book Antiqua" w:hAnsi="Book Antiqua" w:cs="Arial"/>
        </w:rPr>
        <w:t xml:space="preserve">[2011] UKSC </w:t>
      </w:r>
      <w:r w:rsidR="005660F4">
        <w:rPr>
          <w:rFonts w:ascii="Book Antiqua" w:hAnsi="Book Antiqua" w:cs="Arial"/>
        </w:rPr>
        <w:t>6 and</w:t>
      </w:r>
      <w:r w:rsidR="00DC33E7">
        <w:rPr>
          <w:rFonts w:ascii="Book Antiqua" w:hAnsi="Book Antiqua" w:cs="Arial"/>
        </w:rPr>
        <w:t xml:space="preserve"> after, there are more grounds to suggest that greater weight must be given </w:t>
      </w:r>
      <w:r w:rsidR="00071DA6">
        <w:rPr>
          <w:rFonts w:ascii="Book Antiqua" w:hAnsi="Book Antiqua" w:cs="Arial"/>
        </w:rPr>
        <w:t>to individualised</w:t>
      </w:r>
      <w:r w:rsidR="00DC33E7">
        <w:rPr>
          <w:rFonts w:ascii="Book Antiqua" w:hAnsi="Book Antiqua" w:cs="Arial"/>
        </w:rPr>
        <w:t xml:space="preserve"> consideration than was suggested to be the case in </w:t>
      </w:r>
      <w:r w:rsidR="00DC33E7" w:rsidRPr="00DC33E7">
        <w:rPr>
          <w:rFonts w:ascii="Book Antiqua" w:hAnsi="Book Antiqua" w:cs="Arial"/>
          <w:u w:val="single"/>
        </w:rPr>
        <w:t>Kay</w:t>
      </w:r>
      <w:r w:rsidR="00DC33E7" w:rsidRPr="007A62F2">
        <w:rPr>
          <w:rFonts w:ascii="Book Antiqua" w:hAnsi="Book Antiqua" w:cs="Arial"/>
        </w:rPr>
        <w:t>.</w:t>
      </w:r>
    </w:p>
    <w:p w:rsidR="0037018D" w:rsidRDefault="0037018D" w:rsidP="0037018D">
      <w:pPr>
        <w:tabs>
          <w:tab w:val="left" w:pos="567"/>
        </w:tabs>
        <w:jc w:val="both"/>
        <w:rPr>
          <w:rFonts w:ascii="Book Antiqua" w:hAnsi="Book Antiqua" w:cs="Arial"/>
        </w:rPr>
      </w:pPr>
    </w:p>
    <w:p w:rsidR="00FF7B51" w:rsidRDefault="0015588E" w:rsidP="00FF7B51">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Second, w</w:t>
      </w:r>
      <w:r w:rsidR="00DC33E7">
        <w:rPr>
          <w:rFonts w:ascii="Book Antiqua" w:hAnsi="Book Antiqua" w:cs="Arial"/>
        </w:rPr>
        <w:t xml:space="preserve">e are equally unimpressed with the submission that </w:t>
      </w:r>
      <w:r w:rsidR="00E70E94">
        <w:rPr>
          <w:rFonts w:ascii="Book Antiqua" w:hAnsi="Book Antiqua" w:cs="Arial"/>
        </w:rPr>
        <w:t xml:space="preserve">following the adoption of HC 194 and Appendix FM, the test to be applied by the judge in deciding whether the decision is in </w:t>
      </w:r>
      <w:r w:rsidR="00320EE3">
        <w:rPr>
          <w:rFonts w:ascii="Book Antiqua" w:hAnsi="Book Antiqua" w:cs="Arial"/>
        </w:rPr>
        <w:t xml:space="preserve">accordance with </w:t>
      </w:r>
      <w:r w:rsidR="00E70E94">
        <w:rPr>
          <w:rFonts w:ascii="Book Antiqua" w:hAnsi="Book Antiqua" w:cs="Arial"/>
        </w:rPr>
        <w:t xml:space="preserve">the law is </w:t>
      </w:r>
      <w:r w:rsidR="00D92DC4">
        <w:rPr>
          <w:rFonts w:ascii="Book Antiqua" w:hAnsi="Book Antiqua" w:cs="Arial"/>
        </w:rPr>
        <w:t>whether there</w:t>
      </w:r>
      <w:r w:rsidR="00E70E94">
        <w:rPr>
          <w:rFonts w:ascii="Book Antiqua" w:hAnsi="Book Antiqua" w:cs="Arial"/>
        </w:rPr>
        <w:t xml:space="preserve"> are </w:t>
      </w:r>
      <w:r w:rsidR="00372E6A">
        <w:rPr>
          <w:rFonts w:ascii="Book Antiqua" w:hAnsi="Book Antiqua" w:cs="Arial"/>
        </w:rPr>
        <w:t>“</w:t>
      </w:r>
      <w:r w:rsidR="00E70E94">
        <w:rPr>
          <w:rFonts w:ascii="Book Antiqua" w:hAnsi="Book Antiqua" w:cs="Arial"/>
        </w:rPr>
        <w:t>exceptional circumstances</w:t>
      </w:r>
      <w:r w:rsidR="00372E6A">
        <w:rPr>
          <w:rFonts w:ascii="Book Antiqua" w:hAnsi="Book Antiqua" w:cs="Arial"/>
        </w:rPr>
        <w:t>”</w:t>
      </w:r>
      <w:r w:rsidR="00E70E94">
        <w:rPr>
          <w:rFonts w:ascii="Book Antiqua" w:hAnsi="Book Antiqua" w:cs="Arial"/>
        </w:rPr>
        <w:t xml:space="preserve"> for allowing the appeal </w:t>
      </w:r>
      <w:r w:rsidR="00FF7B51">
        <w:rPr>
          <w:rFonts w:ascii="Book Antiqua" w:hAnsi="Book Antiqua" w:cs="Arial"/>
        </w:rPr>
        <w:t xml:space="preserve">notwithstanding the absence of </w:t>
      </w:r>
      <w:r w:rsidR="00E70E94">
        <w:rPr>
          <w:rFonts w:ascii="Book Antiqua" w:hAnsi="Book Antiqua" w:cs="Arial"/>
        </w:rPr>
        <w:t>compliance with the</w:t>
      </w:r>
      <w:r w:rsidR="001710FF">
        <w:rPr>
          <w:rFonts w:ascii="Book Antiqua" w:hAnsi="Book Antiqua" w:cs="Arial"/>
        </w:rPr>
        <w:t xml:space="preserve"> r</w:t>
      </w:r>
      <w:r w:rsidR="00FF7B51">
        <w:rPr>
          <w:rFonts w:ascii="Book Antiqua" w:hAnsi="Book Antiqua" w:cs="Arial"/>
        </w:rPr>
        <w:t>ules:</w:t>
      </w:r>
    </w:p>
    <w:p w:rsidR="00320EE3" w:rsidRDefault="00320EE3" w:rsidP="00320EE3">
      <w:pPr>
        <w:tabs>
          <w:tab w:val="left" w:pos="567"/>
        </w:tabs>
        <w:jc w:val="both"/>
        <w:rPr>
          <w:rFonts w:ascii="Book Antiqua" w:hAnsi="Book Antiqua" w:cs="Arial"/>
        </w:rPr>
      </w:pPr>
    </w:p>
    <w:p w:rsidR="00FF7B51" w:rsidRDefault="00FF7B51" w:rsidP="00FF7B51">
      <w:pPr>
        <w:numPr>
          <w:ilvl w:val="2"/>
          <w:numId w:val="1"/>
        </w:numPr>
        <w:tabs>
          <w:tab w:val="left" w:pos="567"/>
          <w:tab w:val="num" w:pos="1440"/>
        </w:tabs>
        <w:ind w:left="1620" w:hanging="180"/>
        <w:jc w:val="both"/>
        <w:rPr>
          <w:rFonts w:ascii="Book Antiqua" w:hAnsi="Book Antiqua" w:cs="Arial"/>
        </w:rPr>
      </w:pPr>
      <w:r>
        <w:rPr>
          <w:rFonts w:ascii="Book Antiqua" w:hAnsi="Book Antiqua" w:cs="Arial"/>
        </w:rPr>
        <w:t xml:space="preserve">Article 8 decisions apply to a wide variety of people: some may be outside the UK and seeking entry clearance to enter; others </w:t>
      </w:r>
      <w:r w:rsidR="00CE2FB6">
        <w:rPr>
          <w:rFonts w:ascii="Book Antiqua" w:hAnsi="Book Antiqua" w:cs="Arial"/>
        </w:rPr>
        <w:t>may</w:t>
      </w:r>
      <w:r>
        <w:rPr>
          <w:rFonts w:ascii="Book Antiqua" w:hAnsi="Book Antiqua" w:cs="Arial"/>
        </w:rPr>
        <w:t xml:space="preserve"> be waiting a first decision on leave to enter albeit physically present, some may have entered irregularly before establishing private and family life; others will have established such private and family life during periods of lawful residence and have had the reasonable expectation that </w:t>
      </w:r>
      <w:r w:rsidR="007A62F2">
        <w:rPr>
          <w:rFonts w:ascii="Book Antiqua" w:hAnsi="Book Antiqua" w:cs="Arial"/>
        </w:rPr>
        <w:t xml:space="preserve">their </w:t>
      </w:r>
      <w:r>
        <w:rPr>
          <w:rFonts w:ascii="Book Antiqua" w:hAnsi="Book Antiqua" w:cs="Arial"/>
        </w:rPr>
        <w:t xml:space="preserve">future lay in the UK. </w:t>
      </w:r>
    </w:p>
    <w:p w:rsidR="00FF7B51" w:rsidRDefault="00FF7B51" w:rsidP="00FF7B51">
      <w:pPr>
        <w:tabs>
          <w:tab w:val="left" w:pos="567"/>
        </w:tabs>
        <w:ind w:left="1440"/>
        <w:jc w:val="both"/>
        <w:rPr>
          <w:rFonts w:ascii="Book Antiqua" w:hAnsi="Book Antiqua" w:cs="Arial"/>
        </w:rPr>
      </w:pPr>
    </w:p>
    <w:p w:rsidR="003970FD" w:rsidRDefault="00FF7B51" w:rsidP="00FE5F47">
      <w:pPr>
        <w:numPr>
          <w:ilvl w:val="2"/>
          <w:numId w:val="1"/>
        </w:numPr>
        <w:tabs>
          <w:tab w:val="left" w:pos="567"/>
          <w:tab w:val="num" w:pos="1440"/>
        </w:tabs>
        <w:ind w:left="1620" w:hanging="180"/>
        <w:jc w:val="both"/>
        <w:rPr>
          <w:rFonts w:ascii="Book Antiqua" w:hAnsi="Book Antiqua" w:cs="Arial"/>
        </w:rPr>
      </w:pPr>
      <w:r>
        <w:rPr>
          <w:rFonts w:ascii="Book Antiqua" w:hAnsi="Book Antiqua" w:cs="Arial"/>
        </w:rPr>
        <w:t xml:space="preserve"> One size does not fit all. It is not possible to apply one set of criteria, such as whether there are ‘insurmountable obstacles’ to these divergent cases, where the case law indicates that a fact sensitive assessment is necessary. The Upper Tribunal made similar observations in its decision in </w:t>
      </w:r>
      <w:r w:rsidRPr="00372E6A">
        <w:rPr>
          <w:rFonts w:ascii="Book Antiqua" w:hAnsi="Book Antiqua" w:cs="Arial"/>
          <w:u w:val="single"/>
        </w:rPr>
        <w:t>Sanade and others</w:t>
      </w:r>
      <w:r>
        <w:rPr>
          <w:rFonts w:ascii="Book Antiqua" w:hAnsi="Book Antiqua" w:cs="Arial"/>
        </w:rPr>
        <w:t xml:space="preserve"> [2012] UKUT 468 (IAC) </w:t>
      </w:r>
      <w:r w:rsidR="007651B0">
        <w:rPr>
          <w:rFonts w:ascii="Book Antiqua" w:hAnsi="Book Antiqua" w:cs="Arial"/>
        </w:rPr>
        <w:t>[2012] Imm AR</w:t>
      </w:r>
      <w:r w:rsidR="00BB2F0E">
        <w:rPr>
          <w:rFonts w:ascii="Book Antiqua" w:hAnsi="Book Antiqua" w:cs="Arial"/>
        </w:rPr>
        <w:t xml:space="preserve"> 597</w:t>
      </w:r>
      <w:r w:rsidR="007651B0">
        <w:rPr>
          <w:rFonts w:ascii="Book Antiqua" w:hAnsi="Book Antiqua" w:cs="Arial"/>
        </w:rPr>
        <w:t xml:space="preserve"> </w:t>
      </w:r>
      <w:r>
        <w:rPr>
          <w:rFonts w:ascii="Book Antiqua" w:hAnsi="Book Antiqua" w:cs="Arial"/>
        </w:rPr>
        <w:t xml:space="preserve">before the new Rules were adopted at [35] and [37].  The House of Lords has </w:t>
      </w:r>
      <w:r w:rsidR="00FE5F47">
        <w:rPr>
          <w:rFonts w:ascii="Book Antiqua" w:hAnsi="Book Antiqua" w:cs="Arial"/>
        </w:rPr>
        <w:t xml:space="preserve">deprecated the test of exceptional circumstances in </w:t>
      </w:r>
      <w:r w:rsidR="00FE5F47" w:rsidRPr="00FE5F47">
        <w:rPr>
          <w:rFonts w:ascii="Book Antiqua" w:hAnsi="Book Antiqua" w:cs="Arial"/>
          <w:u w:val="single"/>
        </w:rPr>
        <w:t>Huang</w:t>
      </w:r>
      <w:r w:rsidR="00FE5F47">
        <w:rPr>
          <w:rFonts w:ascii="Book Antiqua" w:hAnsi="Book Antiqua" w:cs="Arial"/>
        </w:rPr>
        <w:t xml:space="preserve"> and further </w:t>
      </w:r>
      <w:r>
        <w:rPr>
          <w:rFonts w:ascii="Book Antiqua" w:hAnsi="Book Antiqua" w:cs="Arial"/>
        </w:rPr>
        <w:t xml:space="preserve">explained why in </w:t>
      </w:r>
      <w:r w:rsidRPr="004D4D0A">
        <w:rPr>
          <w:rFonts w:ascii="Book Antiqua" w:hAnsi="Book Antiqua" w:cs="Arial"/>
          <w:u w:val="single"/>
        </w:rPr>
        <w:t>EB Kosovo</w:t>
      </w:r>
      <w:r>
        <w:rPr>
          <w:rFonts w:ascii="Book Antiqua" w:hAnsi="Book Antiqua" w:cs="Arial"/>
        </w:rPr>
        <w:t xml:space="preserve"> (see </w:t>
      </w:r>
      <w:r w:rsidR="00697D7D">
        <w:rPr>
          <w:rFonts w:ascii="Book Antiqua" w:hAnsi="Book Antiqua" w:cs="Arial"/>
        </w:rPr>
        <w:t xml:space="preserve">below at paragraph 56 </w:t>
      </w:r>
      <w:r w:rsidR="00BB2F0E">
        <w:rPr>
          <w:rFonts w:ascii="Book Antiqua" w:hAnsi="Book Antiqua" w:cs="Arial"/>
        </w:rPr>
        <w:t>below). In our judgment t</w:t>
      </w:r>
      <w:r>
        <w:rPr>
          <w:rFonts w:ascii="Book Antiqua" w:hAnsi="Book Antiqua" w:cs="Arial"/>
        </w:rPr>
        <w:t>hese observations remain as true after the new rules came into force</w:t>
      </w:r>
      <w:r w:rsidR="00FE5F47">
        <w:rPr>
          <w:rFonts w:ascii="Book Antiqua" w:hAnsi="Book Antiqua" w:cs="Arial"/>
        </w:rPr>
        <w:t>,</w:t>
      </w:r>
      <w:r>
        <w:rPr>
          <w:rFonts w:ascii="Book Antiqua" w:hAnsi="Book Antiqua" w:cs="Arial"/>
        </w:rPr>
        <w:t xml:space="preserve"> as before.</w:t>
      </w:r>
    </w:p>
    <w:p w:rsidR="00320EE3" w:rsidRDefault="00320EE3" w:rsidP="00320EE3">
      <w:pPr>
        <w:tabs>
          <w:tab w:val="left" w:pos="567"/>
          <w:tab w:val="num" w:pos="1800"/>
        </w:tabs>
        <w:jc w:val="both"/>
        <w:rPr>
          <w:rFonts w:ascii="Book Antiqua" w:hAnsi="Book Antiqua" w:cs="Arial"/>
        </w:rPr>
      </w:pPr>
    </w:p>
    <w:p w:rsidR="00FF7B51" w:rsidRDefault="00FF7B51" w:rsidP="00320EE3">
      <w:pPr>
        <w:numPr>
          <w:ilvl w:val="2"/>
          <w:numId w:val="1"/>
        </w:numPr>
        <w:tabs>
          <w:tab w:val="left" w:pos="567"/>
          <w:tab w:val="num" w:pos="1440"/>
        </w:tabs>
        <w:ind w:left="1620" w:hanging="180"/>
        <w:jc w:val="both"/>
        <w:rPr>
          <w:rFonts w:ascii="Book Antiqua" w:hAnsi="Book Antiqua" w:cs="Arial"/>
        </w:rPr>
      </w:pPr>
      <w:r>
        <w:rPr>
          <w:rFonts w:ascii="Book Antiqua" w:hAnsi="Book Antiqua" w:cs="Arial"/>
        </w:rPr>
        <w:t xml:space="preserve">The package of changes </w:t>
      </w:r>
      <w:r w:rsidR="00FE5F47">
        <w:rPr>
          <w:rFonts w:ascii="Book Antiqua" w:hAnsi="Book Antiqua" w:cs="Arial"/>
        </w:rPr>
        <w:t xml:space="preserve">made </w:t>
      </w:r>
      <w:r w:rsidR="00320EE3">
        <w:rPr>
          <w:rFonts w:ascii="Book Antiqua" w:hAnsi="Book Antiqua" w:cs="Arial"/>
        </w:rPr>
        <w:t xml:space="preserve">in </w:t>
      </w:r>
      <w:r>
        <w:rPr>
          <w:rFonts w:ascii="Book Antiqua" w:hAnsi="Book Antiqua" w:cs="Arial"/>
        </w:rPr>
        <w:t xml:space="preserve">regulating </w:t>
      </w:r>
      <w:r w:rsidR="00320EE3">
        <w:rPr>
          <w:rFonts w:ascii="Book Antiqua" w:hAnsi="Book Antiqua" w:cs="Arial"/>
        </w:rPr>
        <w:t xml:space="preserve">the </w:t>
      </w:r>
      <w:r>
        <w:rPr>
          <w:rFonts w:ascii="Book Antiqua" w:hAnsi="Book Antiqua" w:cs="Arial"/>
        </w:rPr>
        <w:t>admission of family members, gr</w:t>
      </w:r>
      <w:r w:rsidR="003970FD">
        <w:rPr>
          <w:rFonts w:ascii="Book Antiqua" w:hAnsi="Book Antiqua" w:cs="Arial"/>
        </w:rPr>
        <w:t>ant of</w:t>
      </w:r>
      <w:r>
        <w:rPr>
          <w:rFonts w:ascii="Book Antiqua" w:hAnsi="Book Antiqua" w:cs="Arial"/>
        </w:rPr>
        <w:t xml:space="preserve"> leave to remain or </w:t>
      </w:r>
      <w:r w:rsidR="003970FD">
        <w:rPr>
          <w:rFonts w:ascii="Book Antiqua" w:hAnsi="Book Antiqua" w:cs="Arial"/>
        </w:rPr>
        <w:t xml:space="preserve">their expulsion are generally considerably more rigorous than previous practice.  </w:t>
      </w:r>
      <w:r w:rsidR="007A62F2">
        <w:rPr>
          <w:rFonts w:ascii="Book Antiqua" w:hAnsi="Book Antiqua" w:cs="Arial"/>
        </w:rPr>
        <w:t>We not</w:t>
      </w:r>
      <w:r w:rsidR="007B4B71">
        <w:rPr>
          <w:rFonts w:ascii="Book Antiqua" w:hAnsi="Book Antiqua" w:cs="Arial"/>
        </w:rPr>
        <w:t>e</w:t>
      </w:r>
      <w:r w:rsidR="007A62F2">
        <w:rPr>
          <w:rFonts w:ascii="Book Antiqua" w:hAnsi="Book Antiqua" w:cs="Arial"/>
        </w:rPr>
        <w:t xml:space="preserve"> the Secretary of State’s response to our question 1 and accept that</w:t>
      </w:r>
      <w:r w:rsidR="00320EE3">
        <w:rPr>
          <w:rFonts w:ascii="Book Antiqua" w:hAnsi="Book Antiqua" w:cs="Arial"/>
        </w:rPr>
        <w:t xml:space="preserve"> HC 194 and Appendix FM does not reproduce every negative factor that has been identified in the case law of do</w:t>
      </w:r>
      <w:r w:rsidR="007A62F2">
        <w:rPr>
          <w:rFonts w:ascii="Book Antiqua" w:hAnsi="Book Antiqua" w:cs="Arial"/>
        </w:rPr>
        <w:t xml:space="preserve">mestic and international courts. Nevertheless, </w:t>
      </w:r>
      <w:r w:rsidR="00320EE3">
        <w:rPr>
          <w:rFonts w:ascii="Book Antiqua" w:hAnsi="Book Antiqua" w:cs="Arial"/>
        </w:rPr>
        <w:t>it imposes very exacting requirements</w:t>
      </w:r>
      <w:r w:rsidR="004822AE">
        <w:rPr>
          <w:rFonts w:ascii="Book Antiqua" w:hAnsi="Book Antiqua" w:cs="Arial"/>
        </w:rPr>
        <w:t xml:space="preserve"> in a number of circumstances: minimum income at significantly high</w:t>
      </w:r>
      <w:r w:rsidR="007B4B71">
        <w:rPr>
          <w:rFonts w:ascii="Book Antiqua" w:hAnsi="Book Antiqua" w:cs="Arial"/>
        </w:rPr>
        <w:t>er</w:t>
      </w:r>
      <w:r w:rsidR="004822AE">
        <w:rPr>
          <w:rFonts w:ascii="Book Antiqua" w:hAnsi="Book Antiqua" w:cs="Arial"/>
        </w:rPr>
        <w:t xml:space="preserve"> levels than subsistence, continuous residence for 20 years in private life claims and in certain cases the absence of any ties; insurmountable obstacles to cohabitation by spouses and the like.  </w:t>
      </w:r>
      <w:r w:rsidR="00374329">
        <w:rPr>
          <w:rFonts w:ascii="Book Antiqua" w:hAnsi="Book Antiqua" w:cs="Arial"/>
        </w:rPr>
        <w:t>T</w:t>
      </w:r>
      <w:r w:rsidR="003970FD">
        <w:rPr>
          <w:rFonts w:ascii="Book Antiqua" w:hAnsi="Book Antiqua" w:cs="Arial"/>
        </w:rPr>
        <w:t>he ‘in accordance with the law’ limb of the appeal is thus likely to arise as a real issue in more rather than fewer appeals.</w:t>
      </w:r>
    </w:p>
    <w:p w:rsidR="00FF7B51" w:rsidRDefault="00FF7B51" w:rsidP="00FF7B51">
      <w:pPr>
        <w:tabs>
          <w:tab w:val="left" w:pos="567"/>
        </w:tabs>
        <w:jc w:val="both"/>
        <w:rPr>
          <w:rFonts w:ascii="Book Antiqua" w:hAnsi="Book Antiqua" w:cs="Arial"/>
        </w:rPr>
      </w:pPr>
    </w:p>
    <w:p w:rsidR="00BB2F0E" w:rsidRDefault="00BB2F0E" w:rsidP="00FE5F47">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Since the hearing and in the course of  making this determination, we have become aware of the decision of Lord </w:t>
      </w:r>
      <w:r w:rsidR="004823B1">
        <w:rPr>
          <w:rFonts w:ascii="Book Antiqua" w:hAnsi="Book Antiqua" w:cs="Arial"/>
        </w:rPr>
        <w:t xml:space="preserve">Brodie in the case of  </w:t>
      </w:r>
      <w:r w:rsidR="004823B1" w:rsidRPr="004823B1">
        <w:rPr>
          <w:rFonts w:ascii="Book Antiqua" w:hAnsi="Book Antiqua" w:cs="Arial"/>
          <w:u w:val="single"/>
        </w:rPr>
        <w:t>MS v SSHD</w:t>
      </w:r>
      <w:r w:rsidR="004823B1">
        <w:rPr>
          <w:rFonts w:ascii="Book Antiqua" w:hAnsi="Book Antiqua" w:cs="Arial"/>
        </w:rPr>
        <w:t xml:space="preserve">  [2013] CSOH 1 9 January 2013. This was a fresh claim judicial review case in which it was not necessary to analyse the particular provisions of the new rules in any detail or the case law of the higher courts in the United Kingdom on issue</w:t>
      </w:r>
      <w:r w:rsidR="001710FF">
        <w:rPr>
          <w:rFonts w:ascii="Book Antiqua" w:hAnsi="Book Antiqua" w:cs="Arial"/>
        </w:rPr>
        <w:t>s addressed in part by the new r</w:t>
      </w:r>
      <w:r w:rsidR="004823B1">
        <w:rPr>
          <w:rFonts w:ascii="Book Antiqua" w:hAnsi="Book Antiqua" w:cs="Arial"/>
        </w:rPr>
        <w:t>ules</w:t>
      </w:r>
      <w:r w:rsidR="007A62F2">
        <w:rPr>
          <w:rFonts w:ascii="Book Antiqua" w:hAnsi="Book Antiqua" w:cs="Arial"/>
        </w:rPr>
        <w:t xml:space="preserve"> and where the factual foundation of the claim did not lend itself to any feature out of the ordinary</w:t>
      </w:r>
      <w:r w:rsidR="004823B1">
        <w:rPr>
          <w:rFonts w:ascii="Book Antiqua" w:hAnsi="Book Antiqua" w:cs="Arial"/>
        </w:rPr>
        <w:t>.</w:t>
      </w:r>
      <w:r w:rsidR="004078FD">
        <w:rPr>
          <w:rFonts w:ascii="Book Antiqua" w:hAnsi="Book Antiqua" w:cs="Arial"/>
        </w:rPr>
        <w:t xml:space="preserve"> Whilst we </w:t>
      </w:r>
      <w:r w:rsidR="004823B1">
        <w:rPr>
          <w:rFonts w:ascii="Book Antiqua" w:hAnsi="Book Antiqua" w:cs="Arial"/>
        </w:rPr>
        <w:t xml:space="preserve">note some difference in emphasis </w:t>
      </w:r>
      <w:r w:rsidR="007A62F2">
        <w:rPr>
          <w:rFonts w:ascii="Book Antiqua" w:hAnsi="Book Antiqua" w:cs="Arial"/>
        </w:rPr>
        <w:t xml:space="preserve">at [28] to [31] </w:t>
      </w:r>
      <w:r w:rsidR="004078FD">
        <w:rPr>
          <w:rFonts w:ascii="Book Antiqua" w:hAnsi="Book Antiqua" w:cs="Arial"/>
        </w:rPr>
        <w:t xml:space="preserve">and our </w:t>
      </w:r>
      <w:r w:rsidR="007A62F2">
        <w:rPr>
          <w:rFonts w:ascii="Book Antiqua" w:hAnsi="Book Antiqua" w:cs="Arial"/>
        </w:rPr>
        <w:t xml:space="preserve">observations </w:t>
      </w:r>
      <w:r w:rsidR="004078FD">
        <w:rPr>
          <w:rFonts w:ascii="Book Antiqua" w:hAnsi="Book Antiqua" w:cs="Arial"/>
        </w:rPr>
        <w:t xml:space="preserve">above, </w:t>
      </w:r>
      <w:r w:rsidR="007A62F2">
        <w:rPr>
          <w:rFonts w:ascii="Book Antiqua" w:hAnsi="Book Antiqua" w:cs="Arial"/>
        </w:rPr>
        <w:t>we do not detect any conflict in approach as to the function of a judge in an Article 8 appeal where family life is indeed engaged.</w:t>
      </w:r>
    </w:p>
    <w:p w:rsidR="00BB2F0E" w:rsidRDefault="00BB2F0E" w:rsidP="007A62F2">
      <w:pPr>
        <w:tabs>
          <w:tab w:val="left" w:pos="567"/>
        </w:tabs>
        <w:jc w:val="both"/>
        <w:rPr>
          <w:rFonts w:ascii="Book Antiqua" w:hAnsi="Book Antiqua" w:cs="Arial"/>
        </w:rPr>
      </w:pPr>
    </w:p>
    <w:p w:rsidR="00FE5F47" w:rsidRDefault="003970FD" w:rsidP="00FE5F47">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Third, we do not accept that all the criteria set out </w:t>
      </w:r>
      <w:r w:rsidR="004822AE">
        <w:rPr>
          <w:rFonts w:ascii="Book Antiqua" w:hAnsi="Book Antiqua" w:cs="Arial"/>
        </w:rPr>
        <w:t xml:space="preserve">in HC 194 </w:t>
      </w:r>
      <w:r>
        <w:rPr>
          <w:rFonts w:ascii="Book Antiqua" w:hAnsi="Book Antiqua" w:cs="Arial"/>
        </w:rPr>
        <w:t xml:space="preserve">accord with the criteria for an Article 8 assessment established by </w:t>
      </w:r>
      <w:r w:rsidR="004822AE">
        <w:rPr>
          <w:rFonts w:ascii="Book Antiqua" w:hAnsi="Book Antiqua" w:cs="Arial"/>
        </w:rPr>
        <w:t>the existing case law. The law</w:t>
      </w:r>
      <w:r>
        <w:rPr>
          <w:rFonts w:ascii="Book Antiqua" w:hAnsi="Book Antiqua" w:cs="Arial"/>
        </w:rPr>
        <w:t xml:space="preserve"> relating to the best interest</w:t>
      </w:r>
      <w:r w:rsidR="007B4B71">
        <w:rPr>
          <w:rFonts w:ascii="Book Antiqua" w:hAnsi="Book Antiqua" w:cs="Arial"/>
        </w:rPr>
        <w:t>s</w:t>
      </w:r>
      <w:r>
        <w:rPr>
          <w:rFonts w:ascii="Book Antiqua" w:hAnsi="Book Antiqua" w:cs="Arial"/>
        </w:rPr>
        <w:t xml:space="preserve"> of </w:t>
      </w:r>
      <w:r w:rsidR="00383224">
        <w:rPr>
          <w:rFonts w:ascii="Book Antiqua" w:hAnsi="Book Antiqua" w:cs="Arial"/>
        </w:rPr>
        <w:t xml:space="preserve">minor </w:t>
      </w:r>
      <w:r>
        <w:rPr>
          <w:rFonts w:ascii="Book Antiqua" w:hAnsi="Book Antiqua" w:cs="Arial"/>
        </w:rPr>
        <w:t xml:space="preserve">children resident </w:t>
      </w:r>
      <w:r w:rsidR="004822AE">
        <w:rPr>
          <w:rFonts w:ascii="Book Antiqua" w:hAnsi="Book Antiqua" w:cs="Arial"/>
        </w:rPr>
        <w:t xml:space="preserve">is </w:t>
      </w:r>
      <w:r>
        <w:rPr>
          <w:rFonts w:ascii="Book Antiqua" w:hAnsi="Book Antiqua" w:cs="Arial"/>
        </w:rPr>
        <w:t xml:space="preserve">one such issue, that we </w:t>
      </w:r>
      <w:r w:rsidR="00FE5F47">
        <w:rPr>
          <w:rFonts w:ascii="Book Antiqua" w:hAnsi="Book Antiqua" w:cs="Arial"/>
        </w:rPr>
        <w:t xml:space="preserve">have already noted. We share the concerns of the Tribunal in </w:t>
      </w:r>
      <w:r w:rsidR="00FE5F47" w:rsidRPr="00B443D8">
        <w:rPr>
          <w:rFonts w:ascii="Book Antiqua" w:hAnsi="Book Antiqua" w:cs="Arial"/>
          <w:u w:val="single"/>
        </w:rPr>
        <w:t>MF</w:t>
      </w:r>
      <w:r w:rsidR="00FE5F47">
        <w:rPr>
          <w:rFonts w:ascii="Book Antiqua" w:hAnsi="Book Antiqua" w:cs="Arial"/>
        </w:rPr>
        <w:t xml:space="preserve"> that provisions of the Appendix FM do not appear to reflect the principle that a primary consideration in immigration decision</w:t>
      </w:r>
      <w:r w:rsidR="007B4B71">
        <w:rPr>
          <w:rFonts w:ascii="Book Antiqua" w:hAnsi="Book Antiqua" w:cs="Arial"/>
        </w:rPr>
        <w:t xml:space="preserve"> making is the welfare and best</w:t>
      </w:r>
      <w:r w:rsidR="00FE5F47">
        <w:rPr>
          <w:rFonts w:ascii="Book Antiqua" w:hAnsi="Book Antiqua" w:cs="Arial"/>
        </w:rPr>
        <w:t xml:space="preserve"> interests of the c</w:t>
      </w:r>
      <w:r w:rsidR="007B4B71">
        <w:rPr>
          <w:rFonts w:ascii="Book Antiqua" w:hAnsi="Book Antiqua" w:cs="Arial"/>
        </w:rPr>
        <w:t>hild. The more the new r</w:t>
      </w:r>
      <w:r w:rsidR="00FE5F47">
        <w:rPr>
          <w:rFonts w:ascii="Book Antiqua" w:hAnsi="Book Antiqua" w:cs="Arial"/>
        </w:rPr>
        <w:t xml:space="preserve">ules restrict otherwise relevant and weighty considerations from being taken into account, the less regard will be had to them in the assessment of proportionality.  We do </w:t>
      </w:r>
      <w:r w:rsidR="007B4B71">
        <w:rPr>
          <w:rFonts w:ascii="Book Antiqua" w:hAnsi="Book Antiqua" w:cs="Arial"/>
        </w:rPr>
        <w:t xml:space="preserve">not </w:t>
      </w:r>
      <w:r w:rsidR="00FE5F47">
        <w:rPr>
          <w:rFonts w:ascii="Book Antiqua" w:hAnsi="Book Antiqua" w:cs="Arial"/>
        </w:rPr>
        <w:t>need</w:t>
      </w:r>
      <w:r w:rsidR="007B4B71">
        <w:rPr>
          <w:rFonts w:ascii="Book Antiqua" w:hAnsi="Book Antiqua" w:cs="Arial"/>
        </w:rPr>
        <w:t xml:space="preserve"> to</w:t>
      </w:r>
      <w:r>
        <w:rPr>
          <w:rFonts w:ascii="Book Antiqua" w:hAnsi="Book Antiqua" w:cs="Arial"/>
        </w:rPr>
        <w:t xml:space="preserve"> consider </w:t>
      </w:r>
      <w:r w:rsidR="007A62F2">
        <w:rPr>
          <w:rFonts w:ascii="Book Antiqua" w:hAnsi="Book Antiqua" w:cs="Arial"/>
        </w:rPr>
        <w:t>this f</w:t>
      </w:r>
      <w:r>
        <w:rPr>
          <w:rFonts w:ascii="Book Antiqua" w:hAnsi="Book Antiqua" w:cs="Arial"/>
        </w:rPr>
        <w:t>urther i</w:t>
      </w:r>
      <w:r w:rsidR="007A62F2">
        <w:rPr>
          <w:rFonts w:ascii="Book Antiqua" w:hAnsi="Book Antiqua" w:cs="Arial"/>
        </w:rPr>
        <w:t>n the present appeal</w:t>
      </w:r>
      <w:r w:rsidR="00383224">
        <w:rPr>
          <w:rFonts w:ascii="Book Antiqua" w:hAnsi="Book Antiqua" w:cs="Arial"/>
        </w:rPr>
        <w:t xml:space="preserve"> case</w:t>
      </w:r>
      <w:r w:rsidR="004822AE">
        <w:rPr>
          <w:rFonts w:ascii="Book Antiqua" w:hAnsi="Book Antiqua" w:cs="Arial"/>
        </w:rPr>
        <w:t xml:space="preserve"> as there are no such children</w:t>
      </w:r>
      <w:r w:rsidR="00383224">
        <w:rPr>
          <w:rFonts w:ascii="Book Antiqua" w:hAnsi="Book Antiqua" w:cs="Arial"/>
        </w:rPr>
        <w:t xml:space="preserve">.  </w:t>
      </w:r>
    </w:p>
    <w:p w:rsidR="00FE5F47" w:rsidRDefault="00FE5F47" w:rsidP="00FE5F47">
      <w:pPr>
        <w:tabs>
          <w:tab w:val="left" w:pos="567"/>
        </w:tabs>
        <w:jc w:val="both"/>
        <w:rPr>
          <w:rFonts w:ascii="Book Antiqua" w:hAnsi="Book Antiqua" w:cs="Arial"/>
        </w:rPr>
      </w:pPr>
    </w:p>
    <w:p w:rsidR="00FE5F47" w:rsidRDefault="00383224" w:rsidP="00FE5F47">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However, the</w:t>
      </w:r>
      <w:r w:rsidR="00FE5F47">
        <w:rPr>
          <w:rFonts w:ascii="Book Antiqua" w:hAnsi="Book Antiqua" w:cs="Arial"/>
        </w:rPr>
        <w:t xml:space="preserve"> decision does rely on the fact that </w:t>
      </w:r>
      <w:r>
        <w:rPr>
          <w:rFonts w:ascii="Book Antiqua" w:hAnsi="Book Antiqua" w:cs="Arial"/>
        </w:rPr>
        <w:t>the claimant fails under Article 8 because she cannot bring herself within the exceptio</w:t>
      </w:r>
      <w:r w:rsidR="007B4B71">
        <w:rPr>
          <w:rFonts w:ascii="Book Antiqua" w:hAnsi="Book Antiqua" w:cs="Arial"/>
        </w:rPr>
        <w:t xml:space="preserve">n of ‘insurmountable obstacles’. </w:t>
      </w:r>
      <w:r>
        <w:rPr>
          <w:rFonts w:ascii="Book Antiqua" w:hAnsi="Book Antiqua" w:cs="Arial"/>
        </w:rPr>
        <w:t>In our judgment</w:t>
      </w:r>
      <w:r w:rsidR="004822AE">
        <w:rPr>
          <w:rFonts w:ascii="Book Antiqua" w:hAnsi="Book Antiqua" w:cs="Arial"/>
        </w:rPr>
        <w:t xml:space="preserve">, to reject a claim under Article 8 because the test of insurmountable obstacles is not met as the Secretary of State did at [17] </w:t>
      </w:r>
      <w:r w:rsidR="004076E9">
        <w:rPr>
          <w:rFonts w:ascii="Book Antiqua" w:hAnsi="Book Antiqua" w:cs="Arial"/>
        </w:rPr>
        <w:t>above is</w:t>
      </w:r>
      <w:r w:rsidR="004822AE">
        <w:rPr>
          <w:rFonts w:ascii="Book Antiqua" w:hAnsi="Book Antiqua" w:cs="Arial"/>
        </w:rPr>
        <w:t xml:space="preserve"> to fail to comply</w:t>
      </w:r>
      <w:r w:rsidR="00C20C5A">
        <w:rPr>
          <w:rFonts w:ascii="Book Antiqua" w:hAnsi="Book Antiqua" w:cs="Arial"/>
        </w:rPr>
        <w:t xml:space="preserve"> with</w:t>
      </w:r>
      <w:r w:rsidR="004822AE">
        <w:rPr>
          <w:rFonts w:ascii="Book Antiqua" w:hAnsi="Book Antiqua" w:cs="Arial"/>
        </w:rPr>
        <w:t xml:space="preserve"> principles of </w:t>
      </w:r>
      <w:r>
        <w:rPr>
          <w:rFonts w:ascii="Book Antiqua" w:hAnsi="Book Antiqua" w:cs="Arial"/>
        </w:rPr>
        <w:t>the established law.</w:t>
      </w:r>
      <w:r w:rsidR="004076E9">
        <w:rPr>
          <w:rFonts w:ascii="Book Antiqua" w:hAnsi="Book Antiqua" w:cs="Arial"/>
        </w:rPr>
        <w:t xml:space="preserve"> </w:t>
      </w:r>
    </w:p>
    <w:p w:rsidR="00FE5F47" w:rsidRDefault="00FE5F47" w:rsidP="00FE5F47">
      <w:pPr>
        <w:tabs>
          <w:tab w:val="left" w:pos="567"/>
        </w:tabs>
        <w:jc w:val="both"/>
        <w:rPr>
          <w:rFonts w:ascii="Book Antiqua" w:hAnsi="Book Antiqua" w:cs="Arial"/>
        </w:rPr>
      </w:pPr>
    </w:p>
    <w:p w:rsidR="00356CAF" w:rsidRDefault="004822AE" w:rsidP="00FE5F47">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Secretary of State disputes that and submits that “insurmountable obstacles” is the test clearly established in the </w:t>
      </w:r>
      <w:smartTag w:uri="urn:schemas-microsoft-com:office:smarttags" w:element="PlaceType">
        <w:r>
          <w:rPr>
            <w:rFonts w:ascii="Book Antiqua" w:hAnsi="Book Antiqua" w:cs="Arial"/>
          </w:rPr>
          <w:t>Strasbourg</w:t>
        </w:r>
      </w:smartTag>
      <w:r>
        <w:rPr>
          <w:rFonts w:ascii="Book Antiqua" w:hAnsi="Book Antiqua" w:cs="Arial"/>
        </w:rPr>
        <w:t xml:space="preserve"> case law. Mr </w:t>
      </w:r>
      <w:r w:rsidR="007A62F2">
        <w:rPr>
          <w:rFonts w:ascii="Book Antiqua" w:hAnsi="Book Antiqua" w:cs="Arial"/>
        </w:rPr>
        <w:t>Nath referred</w:t>
      </w:r>
      <w:r>
        <w:rPr>
          <w:rFonts w:ascii="Book Antiqua" w:hAnsi="Book Antiqua" w:cs="Arial"/>
        </w:rPr>
        <w:t xml:space="preserve"> us to </w:t>
      </w:r>
      <w:r w:rsidRPr="00D95EB2">
        <w:rPr>
          <w:rFonts w:ascii="Book Antiqua" w:hAnsi="Book Antiqua" w:cs="Arial"/>
          <w:u w:val="single"/>
        </w:rPr>
        <w:t xml:space="preserve">Rodrigues </w:t>
      </w:r>
      <w:r w:rsidRPr="00697D7D">
        <w:rPr>
          <w:rFonts w:ascii="Book Antiqua" w:hAnsi="Book Antiqua" w:cs="Arial"/>
          <w:u w:val="single"/>
        </w:rPr>
        <w:t>da Silva</w:t>
      </w:r>
      <w:r w:rsidR="00356CAF" w:rsidRPr="00697D7D">
        <w:rPr>
          <w:rFonts w:ascii="Book Antiqua" w:hAnsi="Book Antiqua" w:cs="Arial"/>
          <w:u w:val="single"/>
        </w:rPr>
        <w:t xml:space="preserve"> </w:t>
      </w:r>
      <w:r w:rsidR="00697D7D" w:rsidRPr="00697D7D">
        <w:rPr>
          <w:rFonts w:ascii="Book Antiqua" w:hAnsi="Book Antiqua" w:cs="Arial"/>
          <w:u w:val="single"/>
        </w:rPr>
        <w:t xml:space="preserve">and Hoogkamer v </w:t>
      </w:r>
      <w:smartTag w:uri="urn:schemas-microsoft-com:office:smarttags" w:element="PlaceType">
        <w:r w:rsidR="00697D7D" w:rsidRPr="00697D7D">
          <w:rPr>
            <w:rFonts w:ascii="Book Antiqua" w:hAnsi="Book Antiqua" w:cs="Arial"/>
            <w:u w:val="single"/>
          </w:rPr>
          <w:t>Netherlands</w:t>
        </w:r>
      </w:smartTag>
      <w:r w:rsidR="00697D7D">
        <w:rPr>
          <w:rFonts w:ascii="Book Antiqua" w:hAnsi="Book Antiqua" w:cs="Arial"/>
        </w:rPr>
        <w:t xml:space="preserve"> </w:t>
      </w:r>
      <w:r w:rsidR="00356CAF">
        <w:rPr>
          <w:rFonts w:ascii="Book Antiqua" w:hAnsi="Book Antiqua" w:cs="Arial"/>
        </w:rPr>
        <w:t xml:space="preserve">(2006) 4th Section </w:t>
      </w:r>
      <w:r w:rsidR="00697D7D">
        <w:rPr>
          <w:rFonts w:ascii="Book Antiqua" w:hAnsi="Book Antiqua" w:cs="Arial"/>
        </w:rPr>
        <w:t xml:space="preserve">[2006] ECHR </w:t>
      </w:r>
      <w:r w:rsidR="00356CAF">
        <w:rPr>
          <w:rFonts w:ascii="Book Antiqua" w:hAnsi="Book Antiqua" w:cs="Arial"/>
        </w:rPr>
        <w:t>at</w:t>
      </w:r>
      <w:r w:rsidR="00FE5F47">
        <w:rPr>
          <w:rFonts w:ascii="Book Antiqua" w:hAnsi="Book Antiqua" w:cs="Arial"/>
        </w:rPr>
        <w:t xml:space="preserve"> [39]</w:t>
      </w:r>
      <w:r w:rsidR="00356CAF">
        <w:rPr>
          <w:rFonts w:ascii="Book Antiqua" w:hAnsi="Book Antiqua" w:cs="Arial"/>
        </w:rPr>
        <w:t>:</w:t>
      </w:r>
    </w:p>
    <w:p w:rsidR="00356CAF" w:rsidRPr="007B4B71" w:rsidRDefault="001710FF" w:rsidP="00CE2FB6">
      <w:pPr>
        <w:pStyle w:val="NormalWeb"/>
        <w:ind w:left="1134" w:firstLine="6"/>
        <w:jc w:val="both"/>
        <w:rPr>
          <w:rFonts w:ascii="Book Antiqua" w:hAnsi="Book Antiqua"/>
          <w:sz w:val="22"/>
          <w:szCs w:val="22"/>
        </w:rPr>
      </w:pPr>
      <w:r>
        <w:rPr>
          <w:rFonts w:ascii="Book Antiqua" w:hAnsi="Book Antiqua"/>
          <w:sz w:val="22"/>
          <w:szCs w:val="22"/>
        </w:rPr>
        <w:t>“</w:t>
      </w:r>
      <w:r w:rsidR="00356CAF" w:rsidRPr="007B4B71">
        <w:rPr>
          <w:rFonts w:ascii="Book Antiqua" w:hAnsi="Book Antiqua"/>
          <w:sz w:val="22"/>
          <w:szCs w:val="22"/>
        </w:rPr>
        <w:t xml:space="preserve">The Court reiterates that in the context of both positive and negative obligations the State must strike a fair balance between the competing interests of the individual and of the community as a whole. However, in both contexts the State enjoys a certain margin of appreciation. Moreover, Article 8 does not entail a general obligation for a State to respect immigrants’ choice of the country of their residence and to authorise family reunion in its territory. Nevertheless, in a case which concerns family life as well as immigration, the extent of a State’s obligations to admit to its territory relatives of persons residing there will vary according to the particular circumstances of the persons involved and the general interest (see </w:t>
      </w:r>
      <w:r w:rsidR="00356CAF" w:rsidRPr="007B4B71">
        <w:rPr>
          <w:rFonts w:ascii="Book Antiqua" w:hAnsi="Book Antiqua"/>
          <w:i/>
          <w:iCs/>
          <w:sz w:val="22"/>
          <w:szCs w:val="22"/>
        </w:rPr>
        <w:t>Gül v. Switzerland</w:t>
      </w:r>
      <w:r w:rsidR="00356CAF" w:rsidRPr="007B4B71">
        <w:rPr>
          <w:rFonts w:ascii="Book Antiqua" w:hAnsi="Book Antiqua"/>
          <w:sz w:val="22"/>
          <w:szCs w:val="22"/>
        </w:rPr>
        <w:t xml:space="preserve">, judgment of 19 February 1996, </w:t>
      </w:r>
      <w:r w:rsidR="00356CAF" w:rsidRPr="007B4B71">
        <w:rPr>
          <w:rFonts w:ascii="Book Antiqua" w:hAnsi="Book Antiqua"/>
          <w:i/>
          <w:iCs/>
          <w:sz w:val="22"/>
          <w:szCs w:val="22"/>
        </w:rPr>
        <w:t>Reports</w:t>
      </w:r>
      <w:r w:rsidR="00356CAF" w:rsidRPr="007B4B71">
        <w:rPr>
          <w:rFonts w:ascii="Book Antiqua" w:hAnsi="Book Antiqua"/>
          <w:sz w:val="22"/>
          <w:szCs w:val="22"/>
        </w:rPr>
        <w:t xml:space="preserve"> 1996-I, pp. 174-75, § 38). Factors to be taken into account in this context are the extent to which family life is effectively ruptured, the extent of the ties in the Contracting State, whether there are insurmountable obstacles in the way of the family living in the country of origin of one or more of them, whether there are factors of immigration control (e.g. a history of breaches of immigration law) or considerations of public order weighing in favour of exclusion (see </w:t>
      </w:r>
      <w:r w:rsidR="00356CAF" w:rsidRPr="007B4B71">
        <w:rPr>
          <w:rFonts w:ascii="Book Antiqua" w:hAnsi="Book Antiqua"/>
          <w:i/>
          <w:iCs/>
          <w:sz w:val="22"/>
          <w:szCs w:val="22"/>
        </w:rPr>
        <w:t>Solomon v. the Netherlands</w:t>
      </w:r>
      <w:r w:rsidR="00356CAF" w:rsidRPr="007B4B71">
        <w:rPr>
          <w:rFonts w:ascii="Book Antiqua" w:hAnsi="Book Antiqua"/>
          <w:sz w:val="22"/>
          <w:szCs w:val="22"/>
        </w:rPr>
        <w:t xml:space="preserve"> (dec.), no. 44328/98, 5 September 2000). Another important consideration will also be whether family life was created at a time when the persons involved were aware that the immigration status of one of them was such that the persistence of that family life within the host state would from the outset be precarious. The Court has previously held that where this is the case it is likely only to be in the most exceptional circumstances that the removal of the non-national family member will constitute a violation of Article 8 (</w:t>
      </w:r>
      <w:r w:rsidR="00356CAF" w:rsidRPr="007B4B71">
        <w:rPr>
          <w:rFonts w:ascii="Book Antiqua" w:hAnsi="Book Antiqua"/>
          <w:i/>
          <w:iCs/>
          <w:sz w:val="22"/>
          <w:szCs w:val="22"/>
        </w:rPr>
        <w:t xml:space="preserve">Mitchell v. the United Kingdom </w:t>
      </w:r>
      <w:r w:rsidR="00356CAF" w:rsidRPr="007B4B71">
        <w:rPr>
          <w:rFonts w:ascii="Book Antiqua" w:hAnsi="Book Antiqua"/>
          <w:sz w:val="22"/>
          <w:szCs w:val="22"/>
        </w:rPr>
        <w:t xml:space="preserve">(dec.), no. 40447/98, 24 November 1998, and </w:t>
      </w:r>
      <w:r w:rsidR="00356CAF" w:rsidRPr="007B4B71">
        <w:rPr>
          <w:rFonts w:ascii="Book Antiqua" w:hAnsi="Book Antiqua"/>
          <w:i/>
          <w:iCs/>
          <w:sz w:val="22"/>
          <w:szCs w:val="22"/>
        </w:rPr>
        <w:t>Ajayi and Others v. the United Kingdom</w:t>
      </w:r>
      <w:r w:rsidR="00356CAF" w:rsidRPr="007B4B71">
        <w:rPr>
          <w:rFonts w:ascii="Book Antiqua" w:hAnsi="Book Antiqua"/>
          <w:sz w:val="22"/>
          <w:szCs w:val="22"/>
        </w:rPr>
        <w:t xml:space="preserve"> (dec.), no. 27663/95, 22 June 1999).</w:t>
      </w:r>
      <w:r>
        <w:rPr>
          <w:rFonts w:ascii="Book Antiqua" w:hAnsi="Book Antiqua"/>
          <w:sz w:val="22"/>
          <w:szCs w:val="22"/>
        </w:rPr>
        <w:t>”</w:t>
      </w:r>
    </w:p>
    <w:p w:rsidR="004822AE" w:rsidRPr="004822AE" w:rsidRDefault="00356CAF" w:rsidP="00697D7D">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Similar statements have been made recently in </w:t>
      </w:r>
      <w:r w:rsidR="004822AE" w:rsidRPr="00372E6A">
        <w:rPr>
          <w:rFonts w:ascii="Book Antiqua" w:hAnsi="Book Antiqua" w:cs="Arial"/>
          <w:u w:val="single"/>
        </w:rPr>
        <w:t>Nunez</w:t>
      </w:r>
      <w:r>
        <w:rPr>
          <w:rFonts w:ascii="Book Antiqua" w:hAnsi="Book Antiqua" w:cs="Arial"/>
          <w:u w:val="single"/>
        </w:rPr>
        <w:t xml:space="preserve"> v </w:t>
      </w:r>
      <w:smartTag w:uri="urn:schemas-microsoft-com:office:smarttags" w:element="PlaceType">
        <w:r>
          <w:rPr>
            <w:rFonts w:ascii="Book Antiqua" w:hAnsi="Book Antiqua" w:cs="Arial"/>
            <w:u w:val="single"/>
          </w:rPr>
          <w:t>Norway</w:t>
        </w:r>
      </w:smartTag>
      <w:r w:rsidRPr="007B4B71">
        <w:rPr>
          <w:rFonts w:ascii="Book Antiqua" w:hAnsi="Book Antiqua" w:cs="Arial"/>
        </w:rPr>
        <w:t xml:space="preserve"> </w:t>
      </w:r>
      <w:r w:rsidRPr="00356CAF">
        <w:rPr>
          <w:rFonts w:ascii="Book Antiqua" w:hAnsi="Book Antiqua" w:cs="Arial"/>
        </w:rPr>
        <w:t xml:space="preserve">[2011] </w:t>
      </w:r>
      <w:r w:rsidR="00697D7D">
        <w:rPr>
          <w:rFonts w:ascii="Book Antiqua" w:hAnsi="Book Antiqua" w:cs="Arial"/>
        </w:rPr>
        <w:t xml:space="preserve">ECHR 1047 </w:t>
      </w:r>
      <w:r w:rsidRPr="00356CAF">
        <w:rPr>
          <w:rFonts w:ascii="Book Antiqua" w:hAnsi="Book Antiqua" w:cs="Arial"/>
        </w:rPr>
        <w:t>at [70</w:t>
      </w:r>
      <w:r w:rsidR="00CA0593">
        <w:rPr>
          <w:rFonts w:ascii="Book Antiqua" w:hAnsi="Book Antiqua" w:cs="Arial"/>
        </w:rPr>
        <w:t>]</w:t>
      </w:r>
      <w:r w:rsidR="00697D7D">
        <w:rPr>
          <w:rFonts w:ascii="Book Antiqua" w:hAnsi="Book Antiqua" w:cs="Arial"/>
        </w:rPr>
        <w:t xml:space="preserve"> </w:t>
      </w:r>
      <w:r w:rsidR="004822AE">
        <w:rPr>
          <w:rFonts w:ascii="Book Antiqua" w:hAnsi="Book Antiqua" w:cs="Arial"/>
        </w:rPr>
        <w:t xml:space="preserve">and </w:t>
      </w:r>
      <w:r w:rsidR="004822AE" w:rsidRPr="00372E6A">
        <w:rPr>
          <w:rFonts w:ascii="Book Antiqua" w:hAnsi="Book Antiqua" w:cs="Arial"/>
          <w:u w:val="single"/>
        </w:rPr>
        <w:t>Antwi</w:t>
      </w:r>
      <w:r>
        <w:rPr>
          <w:rFonts w:ascii="Book Antiqua" w:hAnsi="Book Antiqua" w:cs="Arial"/>
          <w:u w:val="single"/>
        </w:rPr>
        <w:t xml:space="preserve"> v </w:t>
      </w:r>
      <w:smartTag w:uri="urn:schemas-microsoft-com:office:smarttags" w:element="PlaceType">
        <w:r>
          <w:rPr>
            <w:rFonts w:ascii="Book Antiqua" w:hAnsi="Book Antiqua" w:cs="Arial"/>
            <w:u w:val="single"/>
          </w:rPr>
          <w:t>Norway</w:t>
        </w:r>
      </w:smartTag>
      <w:r w:rsidRPr="007B4B71">
        <w:rPr>
          <w:rFonts w:ascii="Book Antiqua" w:hAnsi="Book Antiqua" w:cs="Arial"/>
        </w:rPr>
        <w:t xml:space="preserve"> </w:t>
      </w:r>
      <w:r w:rsidR="00F5678F">
        <w:rPr>
          <w:rFonts w:ascii="Book Antiqua" w:hAnsi="Book Antiqua" w:cs="Arial"/>
        </w:rPr>
        <w:t>[2012</w:t>
      </w:r>
      <w:r w:rsidRPr="00356CAF">
        <w:rPr>
          <w:rFonts w:ascii="Book Antiqua" w:hAnsi="Book Antiqua" w:cs="Arial"/>
        </w:rPr>
        <w:t>]</w:t>
      </w:r>
      <w:r>
        <w:rPr>
          <w:rFonts w:ascii="Book Antiqua" w:hAnsi="Book Antiqua" w:cs="Arial"/>
        </w:rPr>
        <w:t xml:space="preserve"> </w:t>
      </w:r>
      <w:r w:rsidR="00697D7D">
        <w:rPr>
          <w:rFonts w:ascii="Book Antiqua" w:hAnsi="Book Antiqua" w:cs="Arial"/>
        </w:rPr>
        <w:t>ECHR</w:t>
      </w:r>
      <w:r w:rsidR="00F5678F">
        <w:rPr>
          <w:rFonts w:ascii="Book Antiqua" w:hAnsi="Book Antiqua" w:cs="Arial"/>
        </w:rPr>
        <w:t xml:space="preserve"> 259 </w:t>
      </w:r>
      <w:r w:rsidR="007B4B71">
        <w:rPr>
          <w:rFonts w:ascii="Book Antiqua" w:hAnsi="Book Antiqua" w:cs="Arial"/>
        </w:rPr>
        <w:t>at</w:t>
      </w:r>
      <w:r>
        <w:rPr>
          <w:rFonts w:ascii="Book Antiqua" w:hAnsi="Book Antiqua" w:cs="Arial"/>
        </w:rPr>
        <w:t xml:space="preserve"> [</w:t>
      </w:r>
      <w:r w:rsidR="00F5678F">
        <w:rPr>
          <w:rFonts w:ascii="Book Antiqua" w:hAnsi="Book Antiqua" w:cs="Arial"/>
        </w:rPr>
        <w:t>89</w:t>
      </w:r>
      <w:r>
        <w:rPr>
          <w:rFonts w:ascii="Book Antiqua" w:hAnsi="Book Antiqua" w:cs="Arial"/>
        </w:rPr>
        <w:t>]</w:t>
      </w:r>
      <w:r w:rsidR="001710FF">
        <w:rPr>
          <w:rFonts w:ascii="Book Antiqua" w:hAnsi="Book Antiqua" w:cs="Arial"/>
        </w:rPr>
        <w:t xml:space="preserve"> to [103]; we understand that </w:t>
      </w:r>
      <w:r w:rsidR="00F5678F">
        <w:rPr>
          <w:rFonts w:ascii="Book Antiqua" w:hAnsi="Book Antiqua" w:cs="Arial"/>
        </w:rPr>
        <w:t xml:space="preserve">the case is to </w:t>
      </w:r>
      <w:r w:rsidR="007A62F2">
        <w:rPr>
          <w:rFonts w:ascii="Book Antiqua" w:hAnsi="Book Antiqua" w:cs="Arial"/>
        </w:rPr>
        <w:t>b</w:t>
      </w:r>
      <w:r w:rsidR="00F5678F">
        <w:rPr>
          <w:rFonts w:ascii="Book Antiqua" w:hAnsi="Book Antiqua" w:cs="Arial"/>
        </w:rPr>
        <w:t>e heard in the Grand Chamber.</w:t>
      </w:r>
      <w:r>
        <w:rPr>
          <w:rFonts w:ascii="Book Antiqua" w:hAnsi="Book Antiqua" w:cs="Arial"/>
        </w:rPr>
        <w:t xml:space="preserve"> </w:t>
      </w:r>
    </w:p>
    <w:p w:rsidR="004822AE" w:rsidRDefault="004822AE" w:rsidP="004822AE">
      <w:pPr>
        <w:tabs>
          <w:tab w:val="left" w:pos="567"/>
        </w:tabs>
        <w:jc w:val="both"/>
        <w:rPr>
          <w:rFonts w:ascii="Book Antiqua" w:hAnsi="Book Antiqua" w:cs="Arial"/>
        </w:rPr>
      </w:pPr>
    </w:p>
    <w:p w:rsidR="00383224" w:rsidRDefault="00FE5F47" w:rsidP="00FE5F47">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w:t>
      </w:r>
      <w:r w:rsidR="00383224">
        <w:rPr>
          <w:rFonts w:ascii="Book Antiqua" w:hAnsi="Book Antiqua" w:cs="Arial"/>
        </w:rPr>
        <w:t>e acknowledge that in a number of Strasbou</w:t>
      </w:r>
      <w:r w:rsidR="00356CAF">
        <w:rPr>
          <w:rFonts w:ascii="Book Antiqua" w:hAnsi="Book Antiqua" w:cs="Arial"/>
        </w:rPr>
        <w:t xml:space="preserve">rg decisions, different sections </w:t>
      </w:r>
      <w:r w:rsidR="00383224">
        <w:rPr>
          <w:rFonts w:ascii="Book Antiqua" w:hAnsi="Book Antiqua" w:cs="Arial"/>
        </w:rPr>
        <w:t>of the European Court of Human Rights have stressed that where initial entry has been unlawful or whether family life has been established at a time where status was precarious, it will only be exceptionally or where there are insurmountable obstacles to the family life being transferred abroad that removal will be a viola</w:t>
      </w:r>
      <w:r w:rsidR="00356CAF">
        <w:rPr>
          <w:rFonts w:ascii="Book Antiqua" w:hAnsi="Book Antiqua" w:cs="Arial"/>
        </w:rPr>
        <w:t xml:space="preserve">tion.  </w:t>
      </w:r>
      <w:r w:rsidR="0039733C">
        <w:rPr>
          <w:rFonts w:ascii="Book Antiqua" w:hAnsi="Book Antiqua" w:cs="Arial"/>
        </w:rPr>
        <w:t>We note that there is</w:t>
      </w:r>
      <w:r w:rsidR="007B4B71">
        <w:rPr>
          <w:rFonts w:ascii="Book Antiqua" w:hAnsi="Book Antiqua" w:cs="Arial"/>
        </w:rPr>
        <w:t>,</w:t>
      </w:r>
      <w:r w:rsidR="0039733C">
        <w:rPr>
          <w:rFonts w:ascii="Book Antiqua" w:hAnsi="Book Antiqua" w:cs="Arial"/>
        </w:rPr>
        <w:t xml:space="preserve"> therefore</w:t>
      </w:r>
      <w:r w:rsidR="007B4B71">
        <w:rPr>
          <w:rFonts w:ascii="Book Antiqua" w:hAnsi="Book Antiqua" w:cs="Arial"/>
        </w:rPr>
        <w:t>,</w:t>
      </w:r>
      <w:r w:rsidR="0039733C">
        <w:rPr>
          <w:rFonts w:ascii="Book Antiqua" w:hAnsi="Book Antiqua" w:cs="Arial"/>
        </w:rPr>
        <w:t xml:space="preserve"> some tension between those cases where these criteria are use</w:t>
      </w:r>
      <w:r w:rsidR="007B4B71">
        <w:rPr>
          <w:rFonts w:ascii="Book Antiqua" w:hAnsi="Book Antiqua" w:cs="Arial"/>
        </w:rPr>
        <w:t>d and some of the decisions of senior c</w:t>
      </w:r>
      <w:r w:rsidR="0039733C">
        <w:rPr>
          <w:rFonts w:ascii="Book Antiqua" w:hAnsi="Book Antiqua" w:cs="Arial"/>
        </w:rPr>
        <w:t xml:space="preserve">ourts in the </w:t>
      </w:r>
      <w:smartTag w:uri="urn:schemas-microsoft-com:office:smarttags" w:element="PlaceType">
        <w:r w:rsidR="0039733C">
          <w:rPr>
            <w:rFonts w:ascii="Book Antiqua" w:hAnsi="Book Antiqua" w:cs="Arial"/>
          </w:rPr>
          <w:t>United Kingdom</w:t>
        </w:r>
      </w:smartTag>
      <w:r w:rsidR="0039733C">
        <w:rPr>
          <w:rFonts w:ascii="Book Antiqua" w:hAnsi="Book Antiqua" w:cs="Arial"/>
        </w:rPr>
        <w:t xml:space="preserve">. </w:t>
      </w:r>
      <w:r w:rsidR="00356CAF">
        <w:rPr>
          <w:rFonts w:ascii="Book Antiqua" w:hAnsi="Book Antiqua" w:cs="Arial"/>
        </w:rPr>
        <w:t xml:space="preserve">However, whereas the </w:t>
      </w:r>
      <w:smartTag w:uri="urn:schemas-microsoft-com:office:smarttags" w:element="PlaceType">
        <w:r w:rsidR="00356CAF">
          <w:rPr>
            <w:rFonts w:ascii="Book Antiqua" w:hAnsi="Book Antiqua" w:cs="Arial"/>
          </w:rPr>
          <w:t>Strasbourg</w:t>
        </w:r>
        <w:r w:rsidR="007B4B71">
          <w:rPr>
            <w:rFonts w:ascii="Book Antiqua" w:hAnsi="Book Antiqua" w:cs="Arial"/>
          </w:rPr>
          <w:t xml:space="preserve"> C</w:t>
        </w:r>
        <w:r w:rsidR="00356CAF">
          <w:rPr>
            <w:rFonts w:ascii="Book Antiqua" w:hAnsi="Book Antiqua" w:cs="Arial"/>
          </w:rPr>
          <w:t>ourt</w:t>
        </w:r>
      </w:smartTag>
      <w:r w:rsidR="00356CAF">
        <w:rPr>
          <w:rFonts w:ascii="Book Antiqua" w:hAnsi="Book Antiqua" w:cs="Arial"/>
        </w:rPr>
        <w:t xml:space="preserve"> refers to this being one of several factors to consider (and others that were decisive in </w:t>
      </w:r>
      <w:r w:rsidR="00356CAF" w:rsidRPr="00356CAF">
        <w:rPr>
          <w:rFonts w:ascii="Book Antiqua" w:hAnsi="Book Antiqua" w:cs="Arial"/>
          <w:u w:val="single"/>
        </w:rPr>
        <w:t>Nunez</w:t>
      </w:r>
      <w:r w:rsidR="00356CAF">
        <w:rPr>
          <w:rFonts w:ascii="Book Antiqua" w:hAnsi="Book Antiqua" w:cs="Arial"/>
        </w:rPr>
        <w:t xml:space="preserve"> included the best interest</w:t>
      </w:r>
      <w:r w:rsidR="001A3A63">
        <w:rPr>
          <w:rFonts w:ascii="Book Antiqua" w:hAnsi="Book Antiqua" w:cs="Arial"/>
        </w:rPr>
        <w:t>s</w:t>
      </w:r>
      <w:r w:rsidR="00356CAF">
        <w:rPr>
          <w:rFonts w:ascii="Book Antiqua" w:hAnsi="Book Antiqua" w:cs="Arial"/>
        </w:rPr>
        <w:t xml:space="preserve"> of the child)</w:t>
      </w:r>
      <w:r w:rsidR="00CA0593">
        <w:rPr>
          <w:rFonts w:ascii="Book Antiqua" w:hAnsi="Book Antiqua" w:cs="Arial"/>
        </w:rPr>
        <w:t xml:space="preserve"> </w:t>
      </w:r>
      <w:r w:rsidR="00356CAF">
        <w:rPr>
          <w:rFonts w:ascii="Book Antiqua" w:hAnsi="Book Antiqua" w:cs="Arial"/>
        </w:rPr>
        <w:t>HC 194 imposes a test that has to be met</w:t>
      </w:r>
      <w:r>
        <w:rPr>
          <w:rFonts w:ascii="Book Antiqua" w:hAnsi="Book Antiqua" w:cs="Arial"/>
        </w:rPr>
        <w:t xml:space="preserve"> for leave to be granted. This turns a factor in the case into a minimum requirement to </w:t>
      </w:r>
      <w:r w:rsidR="001A3A63">
        <w:rPr>
          <w:rFonts w:ascii="Book Antiqua" w:hAnsi="Book Antiqua" w:cs="Arial"/>
        </w:rPr>
        <w:t>b</w:t>
      </w:r>
      <w:r>
        <w:rPr>
          <w:rFonts w:ascii="Book Antiqua" w:hAnsi="Book Antiqua" w:cs="Arial"/>
        </w:rPr>
        <w:t>e always met</w:t>
      </w:r>
      <w:r w:rsidR="00356CAF">
        <w:rPr>
          <w:rFonts w:ascii="Book Antiqua" w:hAnsi="Book Antiqua" w:cs="Arial"/>
        </w:rPr>
        <w:t>.</w:t>
      </w:r>
      <w:r w:rsidR="00D92DC4">
        <w:rPr>
          <w:rFonts w:ascii="Book Antiqua" w:hAnsi="Book Antiqua" w:cs="Arial"/>
        </w:rPr>
        <w:t xml:space="preserve"> </w:t>
      </w:r>
      <w:r>
        <w:rPr>
          <w:rFonts w:ascii="Book Antiqua" w:hAnsi="Book Antiqua" w:cs="Arial"/>
        </w:rPr>
        <w:t xml:space="preserve"> We do not read the </w:t>
      </w:r>
      <w:smartTag w:uri="urn:schemas-microsoft-com:office:smarttags" w:element="PlaceType">
        <w:r>
          <w:rPr>
            <w:rFonts w:ascii="Book Antiqua" w:hAnsi="Book Antiqua" w:cs="Arial"/>
          </w:rPr>
          <w:t>Strasbourg</w:t>
        </w:r>
      </w:smartTag>
      <w:r>
        <w:rPr>
          <w:rFonts w:ascii="Book Antiqua" w:hAnsi="Book Antiqua" w:cs="Arial"/>
        </w:rPr>
        <w:t xml:space="preserve"> cases as doing this.</w:t>
      </w:r>
    </w:p>
    <w:p w:rsidR="00356CAF" w:rsidRDefault="00356CAF" w:rsidP="00356CAF">
      <w:pPr>
        <w:tabs>
          <w:tab w:val="left" w:pos="567"/>
        </w:tabs>
        <w:jc w:val="both"/>
        <w:rPr>
          <w:rFonts w:ascii="Book Antiqua" w:hAnsi="Book Antiqua" w:cs="Arial"/>
        </w:rPr>
      </w:pPr>
    </w:p>
    <w:p w:rsidR="00356CAF" w:rsidRDefault="00356CAF" w:rsidP="00356CAF">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Further</w:t>
      </w:r>
      <w:r w:rsidR="00CA0593">
        <w:rPr>
          <w:rFonts w:ascii="Book Antiqua" w:hAnsi="Book Antiqua" w:cs="Arial"/>
        </w:rPr>
        <w:t xml:space="preserve">, where </w:t>
      </w:r>
      <w:r>
        <w:rPr>
          <w:rFonts w:ascii="Book Antiqua" w:hAnsi="Book Antiqua" w:cs="Arial"/>
        </w:rPr>
        <w:t>family life was established throug</w:t>
      </w:r>
      <w:r w:rsidR="00CA0593">
        <w:rPr>
          <w:rFonts w:ascii="Book Antiqua" w:hAnsi="Book Antiqua" w:cs="Arial"/>
        </w:rPr>
        <w:t>h lawful residence, the Grand C</w:t>
      </w:r>
      <w:r>
        <w:rPr>
          <w:rFonts w:ascii="Book Antiqua" w:hAnsi="Book Antiqua" w:cs="Arial"/>
        </w:rPr>
        <w:t xml:space="preserve">hamber in </w:t>
      </w:r>
      <w:r w:rsidR="0039733C">
        <w:rPr>
          <w:rFonts w:ascii="Book Antiqua" w:hAnsi="Book Antiqua" w:cs="Arial"/>
          <w:u w:val="single"/>
        </w:rPr>
        <w:t xml:space="preserve">Boultif </w:t>
      </w:r>
      <w:r w:rsidRPr="00356CAF">
        <w:rPr>
          <w:rFonts w:ascii="Book Antiqua" w:hAnsi="Book Antiqua" w:cs="Arial"/>
          <w:u w:val="single"/>
        </w:rPr>
        <w:t xml:space="preserve">v </w:t>
      </w:r>
      <w:smartTag w:uri="urn:schemas-microsoft-com:office:smarttags" w:element="PlaceType">
        <w:r w:rsidRPr="00356CAF">
          <w:rPr>
            <w:rFonts w:ascii="Book Antiqua" w:hAnsi="Book Antiqua" w:cs="Arial"/>
            <w:u w:val="single"/>
          </w:rPr>
          <w:t>Switzerland</w:t>
        </w:r>
      </w:smartTag>
      <w:r>
        <w:rPr>
          <w:rFonts w:ascii="Book Antiqua" w:hAnsi="Book Antiqua" w:cs="Arial"/>
        </w:rPr>
        <w:t xml:space="preserve"> [2001] </w:t>
      </w:r>
      <w:r w:rsidR="00FE5F47">
        <w:rPr>
          <w:rFonts w:ascii="Book Antiqua" w:hAnsi="Book Antiqua" w:cs="Arial"/>
        </w:rPr>
        <w:t>did not refer to insurmountable obstacles but posed a different question in its guidance at [48]:</w:t>
      </w:r>
    </w:p>
    <w:p w:rsidR="00356CAF" w:rsidRPr="00FE5F47" w:rsidRDefault="007B4B71" w:rsidP="00CE2FB6">
      <w:pPr>
        <w:spacing w:before="100" w:beforeAutospacing="1" w:after="100" w:afterAutospacing="1"/>
        <w:ind w:left="1134"/>
        <w:jc w:val="both"/>
        <w:rPr>
          <w:rFonts w:ascii="Book Antiqua" w:hAnsi="Book Antiqua"/>
          <w:sz w:val="22"/>
          <w:szCs w:val="22"/>
        </w:rPr>
      </w:pPr>
      <w:bookmarkStart w:id="2" w:name="para48"/>
      <w:r>
        <w:rPr>
          <w:rFonts w:ascii="Book Antiqua" w:hAnsi="Book Antiqua"/>
          <w:sz w:val="22"/>
          <w:szCs w:val="22"/>
        </w:rPr>
        <w:t>“</w:t>
      </w:r>
      <w:r w:rsidR="00356CAF" w:rsidRPr="00FE5F47">
        <w:rPr>
          <w:rFonts w:ascii="Book Antiqua" w:hAnsi="Book Antiqua"/>
          <w:sz w:val="22"/>
          <w:szCs w:val="22"/>
        </w:rPr>
        <w:t xml:space="preserve">The Court has only a limited number of decided cases where the main obstacle to expulsion was that it would entail difficulties for the spouses to stay together and, in particular, for one of them and/or the children to live in the other's country of origin. It is therefore called upon to establish guiding principles in order to examine whether the measure in question was necessary in a democratic society. </w:t>
      </w:r>
      <w:bookmarkEnd w:id="2"/>
    </w:p>
    <w:p w:rsidR="00CA0593" w:rsidRPr="00FE5F47" w:rsidRDefault="00356CAF" w:rsidP="00CE2FB6">
      <w:pPr>
        <w:pStyle w:val="NormalWeb"/>
        <w:ind w:left="1134"/>
        <w:jc w:val="both"/>
        <w:rPr>
          <w:rFonts w:ascii="Book Antiqua" w:hAnsi="Book Antiqua"/>
          <w:sz w:val="22"/>
          <w:szCs w:val="22"/>
        </w:rPr>
      </w:pPr>
      <w:r w:rsidRPr="00FE5F47">
        <w:rPr>
          <w:rFonts w:ascii="Book Antiqua" w:hAnsi="Book Antiqua"/>
          <w:sz w:val="22"/>
          <w:szCs w:val="22"/>
        </w:rPr>
        <w:t>In assessing the relevant criteria in such a case, the Court will consider the nature and seriousness of the offence committed by the applicant; the duration of the applicant's stay in the country from which he is going to be expelled; the time which has elapsed since the commission of the offence and the applicant's conduct during that period; the nationalities of the various persons concerned; the applicant's family situation, such as the length of the marriage; other factors revealing whether the couple lead a real and genuine family life; whether the spouse knew about the offence at the time when he or she entered into a family relationship; and whether there are children in the marriage and, if so, their age. Not least, the Court will also consider the seriousness of the difficulties which the spouse would be likely to encounter in the applicant's country of origin, although the mere fact that a person might face certain difficulties in accompanying her or his spouse cannot in itself preclude expulsion.</w:t>
      </w:r>
      <w:r w:rsidR="007B4B71">
        <w:rPr>
          <w:rFonts w:ascii="Book Antiqua" w:hAnsi="Book Antiqua"/>
          <w:sz w:val="22"/>
          <w:szCs w:val="22"/>
        </w:rPr>
        <w:t>”</w:t>
      </w:r>
    </w:p>
    <w:p w:rsidR="00356CAF" w:rsidRPr="00CA0593" w:rsidRDefault="001A3A63" w:rsidP="001A3A63">
      <w:pPr>
        <w:pStyle w:val="NormalWeb"/>
        <w:ind w:left="540" w:hanging="540"/>
        <w:rPr>
          <w:sz w:val="22"/>
          <w:szCs w:val="22"/>
        </w:rPr>
      </w:pPr>
      <w:r>
        <w:rPr>
          <w:rFonts w:ascii="Book Antiqua" w:hAnsi="Book Antiqua"/>
        </w:rPr>
        <w:t xml:space="preserve">         </w:t>
      </w:r>
      <w:r w:rsidR="00356CAF" w:rsidRPr="00697D7D">
        <w:rPr>
          <w:rFonts w:ascii="Book Antiqua" w:hAnsi="Book Antiqua"/>
        </w:rPr>
        <w:t>It is thus the de</w:t>
      </w:r>
      <w:r w:rsidR="00CA0593" w:rsidRPr="00697D7D">
        <w:rPr>
          <w:rFonts w:ascii="Book Antiqua" w:hAnsi="Book Antiqua"/>
        </w:rPr>
        <w:t>gree of difficulty the couple face rather th</w:t>
      </w:r>
      <w:r>
        <w:rPr>
          <w:rFonts w:ascii="Book Antiqua" w:hAnsi="Book Antiqua"/>
        </w:rPr>
        <w:t>an th</w:t>
      </w:r>
      <w:r w:rsidR="00CA0593" w:rsidRPr="00697D7D">
        <w:rPr>
          <w:rFonts w:ascii="Book Antiqua" w:hAnsi="Book Antiqua"/>
        </w:rPr>
        <w:t>e</w:t>
      </w:r>
      <w:r w:rsidR="00356CAF" w:rsidRPr="00697D7D">
        <w:rPr>
          <w:rFonts w:ascii="Book Antiqua" w:hAnsi="Book Antiqua"/>
        </w:rPr>
        <w:t xml:space="preserve"> </w:t>
      </w:r>
      <w:r>
        <w:rPr>
          <w:rFonts w:ascii="Book Antiqua" w:hAnsi="Book Antiqua"/>
        </w:rPr>
        <w:t>‘</w:t>
      </w:r>
      <w:r w:rsidR="00356CAF" w:rsidRPr="00697D7D">
        <w:rPr>
          <w:rFonts w:ascii="Book Antiqua" w:hAnsi="Book Antiqua"/>
        </w:rPr>
        <w:t>surmoun</w:t>
      </w:r>
      <w:r w:rsidR="00CA0593" w:rsidRPr="00697D7D">
        <w:rPr>
          <w:rFonts w:ascii="Book Antiqua" w:hAnsi="Book Antiqua"/>
        </w:rPr>
        <w:t>tability</w:t>
      </w:r>
      <w:r>
        <w:rPr>
          <w:rFonts w:ascii="Book Antiqua" w:hAnsi="Book Antiqua"/>
        </w:rPr>
        <w:t>’</w:t>
      </w:r>
      <w:r w:rsidR="00CA0593" w:rsidRPr="00697D7D">
        <w:rPr>
          <w:rFonts w:ascii="Book Antiqua" w:hAnsi="Book Antiqua"/>
        </w:rPr>
        <w:t xml:space="preserve"> of the obstacle that is th</w:t>
      </w:r>
      <w:r w:rsidR="00356CAF" w:rsidRPr="00697D7D">
        <w:rPr>
          <w:rFonts w:ascii="Book Antiqua" w:hAnsi="Book Antiqua"/>
        </w:rPr>
        <w:t xml:space="preserve">e focus of </w:t>
      </w:r>
      <w:r w:rsidR="00CA0593" w:rsidRPr="00697D7D">
        <w:rPr>
          <w:rFonts w:ascii="Book Antiqua" w:hAnsi="Book Antiqua"/>
        </w:rPr>
        <w:t>judicial assessment but again as a factor rather than a test</w:t>
      </w:r>
      <w:r w:rsidR="00356CAF">
        <w:t>.</w:t>
      </w:r>
    </w:p>
    <w:p w:rsidR="00383224" w:rsidRDefault="00697D7D" w:rsidP="0038322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It</w:t>
      </w:r>
      <w:r w:rsidR="00CA0593">
        <w:rPr>
          <w:rFonts w:ascii="Book Antiqua" w:hAnsi="Book Antiqua" w:cs="Arial"/>
        </w:rPr>
        <w:t xml:space="preserve"> </w:t>
      </w:r>
      <w:r w:rsidR="00D92DC4">
        <w:rPr>
          <w:rFonts w:ascii="Book Antiqua" w:hAnsi="Book Antiqua" w:cs="Arial"/>
        </w:rPr>
        <w:t xml:space="preserve">has been repeatedly </w:t>
      </w:r>
      <w:r w:rsidR="00BA3272">
        <w:rPr>
          <w:rFonts w:ascii="Book Antiqua" w:hAnsi="Book Antiqua" w:cs="Arial"/>
        </w:rPr>
        <w:t xml:space="preserve">stated </w:t>
      </w:r>
      <w:r w:rsidR="00D92DC4">
        <w:rPr>
          <w:rFonts w:ascii="Book Antiqua" w:hAnsi="Book Antiqua" w:cs="Arial"/>
        </w:rPr>
        <w:t xml:space="preserve">in national jurisprudence </w:t>
      </w:r>
      <w:r>
        <w:rPr>
          <w:rFonts w:ascii="Book Antiqua" w:hAnsi="Book Antiqua" w:cs="Arial"/>
        </w:rPr>
        <w:t xml:space="preserve">laid down by the higher courts </w:t>
      </w:r>
      <w:r w:rsidR="00372E6A">
        <w:rPr>
          <w:rFonts w:ascii="Book Antiqua" w:hAnsi="Book Antiqua" w:cs="Arial"/>
        </w:rPr>
        <w:t xml:space="preserve">in the </w:t>
      </w:r>
      <w:smartTag w:uri="urn:schemas-microsoft-com:office:smarttags" w:element="PlaceType">
        <w:r w:rsidR="00372E6A">
          <w:rPr>
            <w:rFonts w:ascii="Book Antiqua" w:hAnsi="Book Antiqua" w:cs="Arial"/>
          </w:rPr>
          <w:t>UK</w:t>
        </w:r>
      </w:smartTag>
      <w:r w:rsidR="001A3A63">
        <w:rPr>
          <w:rFonts w:ascii="Book Antiqua" w:hAnsi="Book Antiqua" w:cs="Arial"/>
        </w:rPr>
        <w:t xml:space="preserve"> </w:t>
      </w:r>
      <w:r>
        <w:rPr>
          <w:rFonts w:ascii="Book Antiqua" w:hAnsi="Book Antiqua" w:cs="Arial"/>
        </w:rPr>
        <w:t>that</w:t>
      </w:r>
      <w:r w:rsidR="00BA3272">
        <w:rPr>
          <w:rFonts w:ascii="Book Antiqua" w:hAnsi="Book Antiqua" w:cs="Arial"/>
        </w:rPr>
        <w:t xml:space="preserve"> </w:t>
      </w:r>
      <w:r w:rsidR="00D92DC4">
        <w:rPr>
          <w:rFonts w:ascii="Book Antiqua" w:hAnsi="Book Antiqua" w:cs="Arial"/>
        </w:rPr>
        <w:t xml:space="preserve">in none of these cases was </w:t>
      </w:r>
      <w:smartTag w:uri="urn:schemas-microsoft-com:office:smarttags" w:element="PlaceType">
        <w:r w:rsidR="00D92DC4">
          <w:rPr>
            <w:rFonts w:ascii="Book Antiqua" w:hAnsi="Book Antiqua" w:cs="Arial"/>
          </w:rPr>
          <w:t>Strasbourg</w:t>
        </w:r>
      </w:smartTag>
      <w:r w:rsidR="00D92DC4">
        <w:rPr>
          <w:rFonts w:ascii="Book Antiqua" w:hAnsi="Book Antiqua" w:cs="Arial"/>
        </w:rPr>
        <w:t xml:space="preserve"> laying down a test for engagement of Article 8 as opposed to reaching a decision on proportionality in the particular case.</w:t>
      </w:r>
      <w:r w:rsidR="00383224">
        <w:rPr>
          <w:rFonts w:ascii="Book Antiqua" w:hAnsi="Book Antiqua" w:cs="Arial"/>
        </w:rPr>
        <w:t xml:space="preserve"> </w:t>
      </w:r>
      <w:r w:rsidR="00D92DC4">
        <w:rPr>
          <w:rFonts w:ascii="Book Antiqua" w:hAnsi="Book Antiqua" w:cs="Arial"/>
        </w:rPr>
        <w:t xml:space="preserve">The requirement for exceptional circumstances or insurmountable obstacles has been </w:t>
      </w:r>
      <w:r w:rsidR="00D95EB2">
        <w:rPr>
          <w:rFonts w:ascii="Book Antiqua" w:hAnsi="Book Antiqua" w:cs="Arial"/>
        </w:rPr>
        <w:t>authoritatively</w:t>
      </w:r>
      <w:r w:rsidR="00D92DC4">
        <w:rPr>
          <w:rFonts w:ascii="Book Antiqua" w:hAnsi="Book Antiqua" w:cs="Arial"/>
        </w:rPr>
        <w:t xml:space="preserve"> declared to </w:t>
      </w:r>
      <w:r w:rsidR="00D95EB2">
        <w:rPr>
          <w:rFonts w:ascii="Book Antiqua" w:hAnsi="Book Antiqua" w:cs="Arial"/>
        </w:rPr>
        <w:t>be an erroneous one in the Article 8 immigration context by the House of Lor</w:t>
      </w:r>
      <w:r w:rsidR="00BA3272">
        <w:rPr>
          <w:rFonts w:ascii="Book Antiqua" w:hAnsi="Book Antiqua" w:cs="Arial"/>
        </w:rPr>
        <w:t xml:space="preserve">ds </w:t>
      </w:r>
      <w:r w:rsidR="00D95EB2">
        <w:rPr>
          <w:rFonts w:ascii="Book Antiqua" w:hAnsi="Book Antiqua" w:cs="Arial"/>
        </w:rPr>
        <w:t xml:space="preserve">in </w:t>
      </w:r>
      <w:r w:rsidR="00D95EB2" w:rsidRPr="00372E6A">
        <w:rPr>
          <w:rFonts w:ascii="Book Antiqua" w:hAnsi="Book Antiqua" w:cs="Arial"/>
          <w:u w:val="single"/>
        </w:rPr>
        <w:t>Huang</w:t>
      </w:r>
      <w:r w:rsidR="00372E6A">
        <w:rPr>
          <w:rFonts w:ascii="Book Antiqua" w:hAnsi="Book Antiqua" w:cs="Arial"/>
        </w:rPr>
        <w:t xml:space="preserve"> [2007] UKHL 11 at [20], </w:t>
      </w:r>
      <w:r w:rsidR="00372E6A" w:rsidRPr="00372E6A">
        <w:rPr>
          <w:rFonts w:ascii="Book Antiqua" w:hAnsi="Book Antiqua" w:cs="Arial"/>
          <w:u w:val="single"/>
        </w:rPr>
        <w:t>EB</w:t>
      </w:r>
      <w:r w:rsidR="00D95EB2" w:rsidRPr="00372E6A">
        <w:rPr>
          <w:rFonts w:ascii="Book Antiqua" w:hAnsi="Book Antiqua" w:cs="Arial"/>
          <w:u w:val="single"/>
        </w:rPr>
        <w:t xml:space="preserve"> Kosovo</w:t>
      </w:r>
      <w:r w:rsidR="00372E6A">
        <w:rPr>
          <w:rFonts w:ascii="Book Antiqua" w:hAnsi="Book Antiqua" w:cs="Arial"/>
          <w:u w:val="single"/>
        </w:rPr>
        <w:t xml:space="preserve"> </w:t>
      </w:r>
      <w:r w:rsidR="004D4D0A">
        <w:rPr>
          <w:rFonts w:ascii="Book Antiqua" w:hAnsi="Book Antiqua" w:cs="Arial"/>
        </w:rPr>
        <w:t xml:space="preserve">[2008] </w:t>
      </w:r>
      <w:r w:rsidR="00372E6A" w:rsidRPr="004D4D0A">
        <w:rPr>
          <w:rFonts w:ascii="Book Antiqua" w:hAnsi="Book Antiqua" w:cs="Arial"/>
        </w:rPr>
        <w:t>UKHL 41 at [8]</w:t>
      </w:r>
      <w:r w:rsidR="004D4D0A" w:rsidRPr="004D4D0A">
        <w:rPr>
          <w:rFonts w:ascii="Book Antiqua" w:hAnsi="Book Antiqua" w:cs="Arial"/>
        </w:rPr>
        <w:t xml:space="preserve"> [12] [18] [20] [21]</w:t>
      </w:r>
      <w:r w:rsidR="00D95EB2">
        <w:rPr>
          <w:rFonts w:ascii="Book Antiqua" w:hAnsi="Book Antiqua" w:cs="Arial"/>
        </w:rPr>
        <w:t xml:space="preserve"> and by the Court of Appeal on innumerable occasions including </w:t>
      </w:r>
      <w:r w:rsidR="00BA3272">
        <w:rPr>
          <w:rFonts w:ascii="Book Antiqua" w:hAnsi="Book Antiqua" w:cs="Arial"/>
        </w:rPr>
        <w:t xml:space="preserve"> </w:t>
      </w:r>
      <w:r w:rsidR="00BA3272" w:rsidRPr="00BA3272">
        <w:rPr>
          <w:rFonts w:ascii="Book Antiqua" w:hAnsi="Book Antiqua" w:cs="Arial"/>
          <w:u w:val="single"/>
        </w:rPr>
        <w:t>LM (DRC)</w:t>
      </w:r>
      <w:r w:rsidR="00BA3272">
        <w:rPr>
          <w:rFonts w:ascii="Book Antiqua" w:hAnsi="Book Antiqua" w:cs="Arial"/>
        </w:rPr>
        <w:t xml:space="preserve"> [2008] EWCA Civ 325  at [11] and [13]; </w:t>
      </w:r>
      <w:r w:rsidR="00BA3272" w:rsidRPr="00BA3272">
        <w:rPr>
          <w:rFonts w:ascii="Book Antiqua" w:hAnsi="Book Antiqua" w:cs="Arial"/>
          <w:u w:val="single"/>
        </w:rPr>
        <w:t>VW (Uganda)</w:t>
      </w:r>
      <w:r w:rsidR="00BA3272">
        <w:rPr>
          <w:rFonts w:ascii="Book Antiqua" w:hAnsi="Book Antiqua" w:cs="Arial"/>
        </w:rPr>
        <w:t xml:space="preserve"> [2009] EWCA Civ 5  at [19] and [24]; </w:t>
      </w:r>
      <w:r w:rsidR="00BA3272" w:rsidRPr="00BA3272">
        <w:rPr>
          <w:rFonts w:ascii="Book Antiqua" w:hAnsi="Book Antiqua" w:cs="Arial"/>
          <w:u w:val="single"/>
        </w:rPr>
        <w:t>JO Uganda</w:t>
      </w:r>
      <w:r w:rsidR="00BA3272">
        <w:rPr>
          <w:rFonts w:ascii="Book Antiqua" w:hAnsi="Book Antiqua" w:cs="Arial"/>
        </w:rPr>
        <w:t xml:space="preserve">  [2010] EWCA Civ 10  at [14] to [15] and [23] to [26].</w:t>
      </w:r>
    </w:p>
    <w:p w:rsidR="0039733C" w:rsidRDefault="0039733C" w:rsidP="0039733C">
      <w:pPr>
        <w:tabs>
          <w:tab w:val="left" w:pos="567"/>
        </w:tabs>
        <w:jc w:val="both"/>
        <w:rPr>
          <w:rFonts w:ascii="Book Antiqua" w:hAnsi="Book Antiqua" w:cs="Arial"/>
        </w:rPr>
      </w:pPr>
    </w:p>
    <w:p w:rsidR="00CA0593" w:rsidRDefault="00CA0593" w:rsidP="0038322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Whilst it is open to Parliament to change the law by primary legislation unless and until it does so thes</w:t>
      </w:r>
      <w:r w:rsidR="00697D7D">
        <w:rPr>
          <w:rFonts w:ascii="Book Antiqua" w:hAnsi="Book Antiqua" w:cs="Arial"/>
        </w:rPr>
        <w:t>e decisions are binding on the U</w:t>
      </w:r>
      <w:r>
        <w:rPr>
          <w:rFonts w:ascii="Book Antiqua" w:hAnsi="Book Antiqua" w:cs="Arial"/>
        </w:rPr>
        <w:t>pper Tribunal and will be followed by it.</w:t>
      </w:r>
    </w:p>
    <w:p w:rsidR="00CA0593" w:rsidRDefault="00CA0593" w:rsidP="00CA0593">
      <w:pPr>
        <w:tabs>
          <w:tab w:val="left" w:pos="567"/>
        </w:tabs>
        <w:jc w:val="both"/>
        <w:rPr>
          <w:rFonts w:ascii="Book Antiqua" w:hAnsi="Book Antiqua" w:cs="Arial"/>
        </w:rPr>
      </w:pPr>
    </w:p>
    <w:p w:rsidR="001A3A63" w:rsidRDefault="00697D7D" w:rsidP="001A3A63">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E</w:t>
      </w:r>
      <w:r w:rsidR="00CA0593">
        <w:rPr>
          <w:rFonts w:ascii="Book Antiqua" w:hAnsi="Book Antiqua" w:cs="Arial"/>
        </w:rPr>
        <w:t xml:space="preserve">ven if it were open to us to do so, which it is not, we would further reject any implicit submission that these decisions are </w:t>
      </w:r>
      <w:r w:rsidR="00D95EB2">
        <w:rPr>
          <w:rFonts w:ascii="Book Antiqua" w:hAnsi="Book Antiqua" w:cs="Arial"/>
        </w:rPr>
        <w:t xml:space="preserve">contrary to the </w:t>
      </w:r>
      <w:smartTag w:uri="urn:schemas-microsoft-com:office:smarttags" w:element="PlaceType">
        <w:r w:rsidR="00D95EB2">
          <w:rPr>
            <w:rFonts w:ascii="Book Antiqua" w:hAnsi="Book Antiqua" w:cs="Arial"/>
          </w:rPr>
          <w:t>Strasbourg</w:t>
        </w:r>
      </w:smartTag>
      <w:r w:rsidR="00D95EB2">
        <w:rPr>
          <w:rFonts w:ascii="Book Antiqua" w:hAnsi="Book Antiqua" w:cs="Arial"/>
        </w:rPr>
        <w:t xml:space="preserve"> jurisprudence. </w:t>
      </w:r>
      <w:r w:rsidR="00CA0593">
        <w:rPr>
          <w:rFonts w:ascii="Book Antiqua" w:hAnsi="Book Antiqua" w:cs="Arial"/>
        </w:rPr>
        <w:t>In addition to the poi</w:t>
      </w:r>
      <w:r w:rsidR="001A3A63">
        <w:rPr>
          <w:rFonts w:ascii="Book Antiqua" w:hAnsi="Book Antiqua" w:cs="Arial"/>
        </w:rPr>
        <w:t>nts we have made at [56] and [57</w:t>
      </w:r>
      <w:r w:rsidR="00CA0593">
        <w:rPr>
          <w:rFonts w:ascii="Book Antiqua" w:hAnsi="Book Antiqua" w:cs="Arial"/>
        </w:rPr>
        <w:t>] above</w:t>
      </w:r>
      <w:r w:rsidR="001710FF">
        <w:rPr>
          <w:rFonts w:ascii="Book Antiqua" w:hAnsi="Book Antiqua" w:cs="Arial"/>
        </w:rPr>
        <w:t xml:space="preserve">, </w:t>
      </w:r>
      <w:r w:rsidR="00CA0593">
        <w:rPr>
          <w:rFonts w:ascii="Book Antiqua" w:hAnsi="Book Antiqua" w:cs="Arial"/>
        </w:rPr>
        <w:t xml:space="preserve"> we observe that as a matter of fundamental principle </w:t>
      </w:r>
      <w:r w:rsidR="00D95EB2">
        <w:rPr>
          <w:rFonts w:ascii="Book Antiqua" w:hAnsi="Book Antiqua" w:cs="Arial"/>
        </w:rPr>
        <w:t xml:space="preserve">in its international supervision of the application of Article 8 </w:t>
      </w:r>
      <w:r w:rsidR="00CA0593">
        <w:rPr>
          <w:rFonts w:ascii="Book Antiqua" w:hAnsi="Book Antiqua" w:cs="Arial"/>
        </w:rPr>
        <w:t xml:space="preserve">the European Court of Human Rights as </w:t>
      </w:r>
      <w:r w:rsidR="000610C3">
        <w:rPr>
          <w:rFonts w:ascii="Book Antiqua" w:hAnsi="Book Antiqua" w:cs="Arial"/>
        </w:rPr>
        <w:t xml:space="preserve">an </w:t>
      </w:r>
      <w:r w:rsidR="00CA0593">
        <w:rPr>
          <w:rFonts w:ascii="Book Antiqua" w:hAnsi="Book Antiqua" w:cs="Arial"/>
        </w:rPr>
        <w:t xml:space="preserve">international court applies minimum standards </w:t>
      </w:r>
      <w:r w:rsidR="001F7BBA">
        <w:rPr>
          <w:rFonts w:ascii="Book Antiqua" w:hAnsi="Book Antiqua" w:cs="Arial"/>
        </w:rPr>
        <w:t>rather than a uniform approach binding on every contracting state.</w:t>
      </w:r>
      <w:r w:rsidR="001A3A63">
        <w:rPr>
          <w:rFonts w:ascii="Book Antiqua" w:hAnsi="Book Antiqua" w:cs="Arial"/>
        </w:rPr>
        <w:t xml:space="preserve"> The pr</w:t>
      </w:r>
      <w:r w:rsidR="001710FF">
        <w:rPr>
          <w:rFonts w:ascii="Book Antiqua" w:hAnsi="Book Antiqua" w:cs="Arial"/>
        </w:rPr>
        <w:t xml:space="preserve">inciple of subsidiarity affords a </w:t>
      </w:r>
      <w:r w:rsidR="001A3A63">
        <w:rPr>
          <w:rFonts w:ascii="Book Antiqua" w:hAnsi="Book Antiqua" w:cs="Arial"/>
        </w:rPr>
        <w:t>margin of appreciation to the institutions of the contracting sta</w:t>
      </w:r>
      <w:r w:rsidR="00C20C5A">
        <w:rPr>
          <w:rFonts w:ascii="Book Antiqua" w:hAnsi="Book Antiqua" w:cs="Arial"/>
        </w:rPr>
        <w:t>te and the national authorities</w:t>
      </w:r>
      <w:r w:rsidR="001A3A63">
        <w:rPr>
          <w:rFonts w:ascii="Book Antiqua" w:hAnsi="Book Antiqua" w:cs="Arial"/>
        </w:rPr>
        <w:t xml:space="preserve"> are better placed than the inte</w:t>
      </w:r>
      <w:r w:rsidR="00C20C5A">
        <w:rPr>
          <w:rFonts w:ascii="Book Antiqua" w:hAnsi="Book Antiqua" w:cs="Arial"/>
        </w:rPr>
        <w:t>rnational court to conduct a</w:t>
      </w:r>
      <w:r w:rsidR="001A3A63">
        <w:rPr>
          <w:rFonts w:ascii="Book Antiqua" w:hAnsi="Book Antiqua" w:cs="Arial"/>
        </w:rPr>
        <w:t xml:space="preserve"> primary examination o</w:t>
      </w:r>
      <w:r w:rsidR="00671151">
        <w:rPr>
          <w:rFonts w:ascii="Book Antiqua" w:hAnsi="Book Antiqua" w:cs="Arial"/>
        </w:rPr>
        <w:t xml:space="preserve">f the competing considerations. </w:t>
      </w:r>
      <w:r w:rsidR="001A3A63">
        <w:rPr>
          <w:rFonts w:ascii="Book Antiqua" w:hAnsi="Book Antiqua" w:cs="Arial"/>
        </w:rPr>
        <w:t>Those authorities include the courts and tribunals called upon to make the assessment.</w:t>
      </w:r>
    </w:p>
    <w:p w:rsidR="001A3A63" w:rsidRDefault="001A3A63" w:rsidP="001A3A63">
      <w:pPr>
        <w:tabs>
          <w:tab w:val="left" w:pos="567"/>
        </w:tabs>
        <w:jc w:val="both"/>
        <w:rPr>
          <w:rFonts w:ascii="Book Antiqua" w:hAnsi="Book Antiqua" w:cs="Arial"/>
        </w:rPr>
      </w:pPr>
    </w:p>
    <w:p w:rsidR="001F7BBA" w:rsidRDefault="000A4F55" w:rsidP="001A3A63">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For example, </w:t>
      </w:r>
      <w:r w:rsidR="001A3A63">
        <w:rPr>
          <w:rFonts w:ascii="Book Antiqua" w:hAnsi="Book Antiqua" w:cs="Arial"/>
        </w:rPr>
        <w:t>the House of Lords has stated on a number of occasions that i</w:t>
      </w:r>
      <w:r w:rsidR="001F7BBA">
        <w:rPr>
          <w:rFonts w:ascii="Book Antiqua" w:hAnsi="Book Antiqua" w:cs="Arial"/>
        </w:rPr>
        <w:t xml:space="preserve">n assessing the </w:t>
      </w:r>
      <w:r w:rsidR="007C1135">
        <w:rPr>
          <w:rFonts w:ascii="Book Antiqua" w:hAnsi="Book Antiqua" w:cs="Arial"/>
        </w:rPr>
        <w:t xml:space="preserve">proportionality </w:t>
      </w:r>
      <w:r w:rsidR="001F7BBA">
        <w:rPr>
          <w:rFonts w:ascii="Book Antiqua" w:hAnsi="Book Antiqua" w:cs="Arial"/>
        </w:rPr>
        <w:t xml:space="preserve">of an interference with rights </w:t>
      </w:r>
      <w:r w:rsidR="007C1135">
        <w:rPr>
          <w:rFonts w:ascii="Book Antiqua" w:hAnsi="Book Antiqua" w:cs="Arial"/>
        </w:rPr>
        <w:t xml:space="preserve">in </w:t>
      </w:r>
      <w:r w:rsidR="001F7BBA">
        <w:rPr>
          <w:rFonts w:ascii="Book Antiqua" w:hAnsi="Book Antiqua" w:cs="Arial"/>
        </w:rPr>
        <w:t>United Kingdom law the question is whether the interfer</w:t>
      </w:r>
      <w:r w:rsidR="00697D7D">
        <w:rPr>
          <w:rFonts w:ascii="Book Antiqua" w:hAnsi="Book Antiqua" w:cs="Arial"/>
        </w:rPr>
        <w:t xml:space="preserve">ence is no more than necessary. </w:t>
      </w:r>
      <w:r w:rsidR="001A3A63">
        <w:rPr>
          <w:rFonts w:ascii="Book Antiqua" w:hAnsi="Book Antiqua" w:cs="Arial"/>
        </w:rPr>
        <w:t>T</w:t>
      </w:r>
      <w:r w:rsidR="001F7BBA">
        <w:rPr>
          <w:rFonts w:ascii="Book Antiqua" w:hAnsi="Book Antiqua" w:cs="Arial"/>
        </w:rPr>
        <w:t xml:space="preserve">his is an application of the least intrusive principle formulated by Lord Steyn in </w:t>
      </w:r>
      <w:r w:rsidR="001F7BBA" w:rsidRPr="00393AF4">
        <w:rPr>
          <w:rFonts w:ascii="Book Antiqua" w:hAnsi="Book Antiqua" w:cs="Arial"/>
          <w:u w:val="single"/>
        </w:rPr>
        <w:t xml:space="preserve">R </w:t>
      </w:r>
      <w:r w:rsidR="00697D7D" w:rsidRPr="00393AF4">
        <w:rPr>
          <w:rFonts w:ascii="Book Antiqua" w:hAnsi="Book Antiqua" w:cs="Arial"/>
          <w:u w:val="single"/>
        </w:rPr>
        <w:t xml:space="preserve"> v Secretary of State for the Home Department</w:t>
      </w:r>
      <w:r w:rsidR="00393AF4">
        <w:rPr>
          <w:rFonts w:ascii="Book Antiqua" w:hAnsi="Book Antiqua" w:cs="Arial"/>
          <w:u w:val="single"/>
        </w:rPr>
        <w:t xml:space="preserve"> ex parte Daley</w:t>
      </w:r>
      <w:r w:rsidR="00393AF4" w:rsidRPr="007B4B71">
        <w:rPr>
          <w:rFonts w:ascii="Book Antiqua" w:hAnsi="Book Antiqua" w:cs="Arial"/>
        </w:rPr>
        <w:t xml:space="preserve"> </w:t>
      </w:r>
      <w:r w:rsidR="00393AF4">
        <w:rPr>
          <w:rFonts w:ascii="Book Antiqua" w:hAnsi="Book Antiqua" w:cs="Arial"/>
        </w:rPr>
        <w:t>[2001] UKHL 26; [2001] 2 AC 532.</w:t>
      </w:r>
      <w:r w:rsidR="00697D7D" w:rsidRPr="00393AF4">
        <w:rPr>
          <w:rFonts w:ascii="Book Antiqua" w:hAnsi="Book Antiqua" w:cs="Arial"/>
          <w:u w:val="single"/>
        </w:rPr>
        <w:t xml:space="preserve"> </w:t>
      </w:r>
      <w:r w:rsidR="00697D7D">
        <w:rPr>
          <w:rFonts w:ascii="Book Antiqua" w:hAnsi="Book Antiqua" w:cs="Arial"/>
        </w:rPr>
        <w:t>This approach was</w:t>
      </w:r>
      <w:r w:rsidR="001F7BBA">
        <w:rPr>
          <w:rFonts w:ascii="Book Antiqua" w:hAnsi="Book Antiqua" w:cs="Arial"/>
        </w:rPr>
        <w:t xml:space="preserve"> applied in immigration case</w:t>
      </w:r>
      <w:r w:rsidR="00393AF4">
        <w:rPr>
          <w:rFonts w:ascii="Book Antiqua" w:hAnsi="Book Antiqua" w:cs="Arial"/>
        </w:rPr>
        <w:t>s</w:t>
      </w:r>
      <w:r w:rsidR="001F7BBA">
        <w:rPr>
          <w:rFonts w:ascii="Book Antiqua" w:hAnsi="Book Antiqua" w:cs="Arial"/>
        </w:rPr>
        <w:t xml:space="preserve"> by </w:t>
      </w:r>
      <w:r w:rsidR="001F7BBA" w:rsidRPr="00393AF4">
        <w:rPr>
          <w:rFonts w:ascii="Book Antiqua" w:hAnsi="Book Antiqua" w:cs="Arial"/>
          <w:u w:val="single"/>
        </w:rPr>
        <w:t>Huang</w:t>
      </w:r>
      <w:r w:rsidR="001F7BBA" w:rsidRPr="00F40117">
        <w:rPr>
          <w:rFonts w:ascii="Book Antiqua" w:hAnsi="Book Antiqua" w:cs="Arial"/>
        </w:rPr>
        <w:t xml:space="preserve"> </w:t>
      </w:r>
      <w:r w:rsidR="001F7BBA">
        <w:rPr>
          <w:rFonts w:ascii="Book Antiqua" w:hAnsi="Book Antiqua" w:cs="Arial"/>
        </w:rPr>
        <w:t>(supra</w:t>
      </w:r>
      <w:r w:rsidR="00697D7D">
        <w:rPr>
          <w:rFonts w:ascii="Book Antiqua" w:hAnsi="Book Antiqua" w:cs="Arial"/>
        </w:rPr>
        <w:t>)</w:t>
      </w:r>
      <w:r w:rsidR="001F7BBA">
        <w:rPr>
          <w:rFonts w:ascii="Book Antiqua" w:hAnsi="Book Antiqua" w:cs="Arial"/>
        </w:rPr>
        <w:t>. The Supr</w:t>
      </w:r>
      <w:r w:rsidR="00697D7D">
        <w:rPr>
          <w:rFonts w:ascii="Book Antiqua" w:hAnsi="Book Antiqua" w:cs="Arial"/>
        </w:rPr>
        <w:t>e</w:t>
      </w:r>
      <w:r w:rsidR="00393AF4">
        <w:rPr>
          <w:rFonts w:ascii="Book Antiqua" w:hAnsi="Book Antiqua" w:cs="Arial"/>
        </w:rPr>
        <w:t>me Court has</w:t>
      </w:r>
      <w:r w:rsidR="001F7BBA">
        <w:rPr>
          <w:rFonts w:ascii="Book Antiqua" w:hAnsi="Book Antiqua" w:cs="Arial"/>
        </w:rPr>
        <w:t xml:space="preserve"> recently affirmed this in </w:t>
      </w:r>
      <w:r w:rsidRPr="004D4D0A">
        <w:rPr>
          <w:rFonts w:ascii="Book Antiqua" w:hAnsi="Book Antiqua" w:cs="Arial"/>
          <w:u w:val="single"/>
        </w:rPr>
        <w:t>Quila</w:t>
      </w:r>
      <w:r w:rsidR="00697D7D">
        <w:rPr>
          <w:rFonts w:ascii="Book Antiqua" w:hAnsi="Book Antiqua" w:cs="Arial"/>
        </w:rPr>
        <w:t xml:space="preserve"> [2011] UKSC 46. A</w:t>
      </w:r>
      <w:r w:rsidR="001F7BBA">
        <w:rPr>
          <w:rFonts w:ascii="Book Antiqua" w:hAnsi="Book Antiqua" w:cs="Arial"/>
        </w:rPr>
        <w:t>t  [45] Lord  Wilson said:</w:t>
      </w:r>
    </w:p>
    <w:p w:rsidR="001F7BBA" w:rsidRPr="00697D7D" w:rsidRDefault="007B4B71" w:rsidP="00CE2FB6">
      <w:pPr>
        <w:spacing w:before="100" w:beforeAutospacing="1" w:after="100" w:afterAutospacing="1"/>
        <w:ind w:left="927"/>
        <w:jc w:val="both"/>
        <w:rPr>
          <w:rFonts w:ascii="Book Antiqua" w:hAnsi="Book Antiqua" w:cs="Arial"/>
          <w:sz w:val="22"/>
          <w:szCs w:val="22"/>
        </w:rPr>
      </w:pPr>
      <w:bookmarkStart w:id="3" w:name="para45"/>
      <w:r>
        <w:rPr>
          <w:rFonts w:ascii="Book Antiqua" w:hAnsi="Book Antiqua" w:cs="Arial"/>
          <w:sz w:val="22"/>
          <w:szCs w:val="22"/>
        </w:rPr>
        <w:t>“</w:t>
      </w:r>
      <w:r w:rsidR="001F7BBA" w:rsidRPr="00697D7D">
        <w:rPr>
          <w:rFonts w:ascii="Book Antiqua" w:hAnsi="Book Antiqua" w:cs="Arial"/>
          <w:sz w:val="22"/>
          <w:szCs w:val="22"/>
        </w:rPr>
        <w:t>The amendmen</w:t>
      </w:r>
      <w:r w:rsidR="00671151">
        <w:rPr>
          <w:rFonts w:ascii="Book Antiqua" w:hAnsi="Book Antiqua" w:cs="Arial"/>
          <w:sz w:val="22"/>
          <w:szCs w:val="22"/>
        </w:rPr>
        <w:t>t had a legitimate aim: it was ‘</w:t>
      </w:r>
      <w:r w:rsidR="001F7BBA" w:rsidRPr="00697D7D">
        <w:rPr>
          <w:rFonts w:ascii="Book Antiqua" w:hAnsi="Book Antiqua" w:cs="Arial"/>
          <w:sz w:val="22"/>
          <w:szCs w:val="22"/>
        </w:rPr>
        <w:t>for the protection of th</w:t>
      </w:r>
      <w:r w:rsidR="00671151">
        <w:rPr>
          <w:rFonts w:ascii="Book Antiqua" w:hAnsi="Book Antiqua" w:cs="Arial"/>
          <w:sz w:val="22"/>
          <w:szCs w:val="22"/>
        </w:rPr>
        <w:t>e rights and freedoms of others’</w:t>
      </w:r>
      <w:r w:rsidR="001F7BBA" w:rsidRPr="00697D7D">
        <w:rPr>
          <w:rFonts w:ascii="Book Antiqua" w:hAnsi="Book Antiqua" w:cs="Arial"/>
          <w:sz w:val="22"/>
          <w:szCs w:val="22"/>
        </w:rPr>
        <w:t xml:space="preserve">, namely those who might otherwise be forced into marriage. It was "in accordance with the law." But was it "necessary in a democratic society"? It is within this question that an assessment of the amendment's proportionality must be undertaken. In </w:t>
      </w:r>
      <w:r w:rsidR="001F7BBA" w:rsidRPr="00697D7D">
        <w:rPr>
          <w:rFonts w:ascii="Book Antiqua" w:hAnsi="Book Antiqua" w:cs="Arial"/>
          <w:i/>
          <w:iCs/>
          <w:sz w:val="22"/>
          <w:szCs w:val="22"/>
        </w:rPr>
        <w:t>Huang v Secretary of State for the Home Department</w:t>
      </w:r>
      <w:r w:rsidR="001F7BBA" w:rsidRPr="00697D7D">
        <w:rPr>
          <w:rFonts w:ascii="Book Antiqua" w:hAnsi="Book Antiqua" w:cs="Arial"/>
          <w:sz w:val="22"/>
          <w:szCs w:val="22"/>
        </w:rPr>
        <w:t xml:space="preserve"> </w:t>
      </w:r>
      <w:bookmarkEnd w:id="3"/>
      <w:r w:rsidR="001F7BBA" w:rsidRPr="00F40117">
        <w:rPr>
          <w:rFonts w:ascii="Book Antiqua" w:hAnsi="Book Antiqua" w:cs="Arial"/>
          <w:sz w:val="22"/>
          <w:szCs w:val="22"/>
        </w:rPr>
        <w:fldChar w:fldCharType="begin"/>
      </w:r>
      <w:r w:rsidR="001F7BBA" w:rsidRPr="00F40117">
        <w:rPr>
          <w:rFonts w:ascii="Book Antiqua" w:hAnsi="Book Antiqua" w:cs="Arial"/>
          <w:sz w:val="22"/>
          <w:szCs w:val="22"/>
        </w:rPr>
        <w:instrText xml:space="preserve"> HYPERLINK "http://www.bailii.org/cgi-bin/redirect.cgi?path=/uk/cases/UKHL/2007/11.html" \o "Link to BAILII version" </w:instrText>
      </w:r>
      <w:r w:rsidR="00480A9A" w:rsidRPr="008A6581">
        <w:rPr>
          <w:rFonts w:ascii="Book Antiqua" w:hAnsi="Book Antiqua" w:cs="Arial"/>
          <w:sz w:val="22"/>
          <w:szCs w:val="22"/>
        </w:rPr>
      </w:r>
      <w:r w:rsidR="001F7BBA" w:rsidRPr="00F40117">
        <w:rPr>
          <w:rFonts w:ascii="Book Antiqua" w:hAnsi="Book Antiqua" w:cs="Arial"/>
          <w:sz w:val="22"/>
          <w:szCs w:val="22"/>
        </w:rPr>
        <w:fldChar w:fldCharType="separate"/>
      </w:r>
      <w:r w:rsidR="001F7BBA" w:rsidRPr="00F40117">
        <w:rPr>
          <w:rStyle w:val="Hyperlink"/>
          <w:rFonts w:ascii="Book Antiqua" w:hAnsi="Book Antiqua" w:cs="Arial"/>
          <w:color w:val="auto"/>
          <w:sz w:val="22"/>
          <w:szCs w:val="22"/>
          <w:u w:val="none"/>
        </w:rPr>
        <w:t>[2007] 2 AC 167</w:t>
      </w:r>
      <w:r w:rsidR="001F7BBA" w:rsidRPr="00F40117">
        <w:rPr>
          <w:rFonts w:ascii="Book Antiqua" w:hAnsi="Book Antiqua" w:cs="Arial"/>
          <w:sz w:val="22"/>
          <w:szCs w:val="22"/>
        </w:rPr>
        <w:fldChar w:fldCharType="end"/>
      </w:r>
      <w:r w:rsidR="00F40117">
        <w:rPr>
          <w:rFonts w:ascii="Book Antiqua" w:hAnsi="Book Antiqua" w:cs="Arial"/>
          <w:sz w:val="22"/>
          <w:szCs w:val="22"/>
        </w:rPr>
        <w:t xml:space="preserve"> L</w:t>
      </w:r>
      <w:r w:rsidR="001F7BBA" w:rsidRPr="00697D7D">
        <w:rPr>
          <w:rFonts w:ascii="Book Antiqua" w:hAnsi="Book Antiqua" w:cs="Arial"/>
          <w:sz w:val="22"/>
          <w:szCs w:val="22"/>
        </w:rPr>
        <w:t xml:space="preserve">ord Bingham suggested, at para 19, that in such a context four questions generally arise, namely: </w:t>
      </w:r>
    </w:p>
    <w:p w:rsidR="001F7BBA" w:rsidRPr="00697D7D" w:rsidRDefault="001F7BBA" w:rsidP="00CE2FB6">
      <w:pPr>
        <w:spacing w:beforeAutospacing="1" w:afterAutospacing="1"/>
        <w:ind w:left="1134"/>
        <w:jc w:val="both"/>
        <w:rPr>
          <w:rFonts w:ascii="Book Antiqua" w:hAnsi="Book Antiqua" w:cs="Arial"/>
          <w:sz w:val="22"/>
          <w:szCs w:val="22"/>
        </w:rPr>
      </w:pPr>
      <w:r w:rsidRPr="00697D7D">
        <w:rPr>
          <w:rFonts w:ascii="Book Antiqua" w:hAnsi="Book Antiqua" w:cs="Arial"/>
          <w:sz w:val="22"/>
          <w:szCs w:val="22"/>
        </w:rPr>
        <w:t>a) is the legislative objective sufficiently important to justify limiting a fundamental right?</w:t>
      </w:r>
    </w:p>
    <w:p w:rsidR="001F7BBA" w:rsidRPr="00697D7D" w:rsidRDefault="001F7BBA" w:rsidP="00CE2FB6">
      <w:pPr>
        <w:spacing w:beforeAutospacing="1" w:afterAutospacing="1"/>
        <w:ind w:left="1134"/>
        <w:jc w:val="both"/>
        <w:rPr>
          <w:rFonts w:ascii="Book Antiqua" w:hAnsi="Book Antiqua" w:cs="Arial"/>
          <w:sz w:val="22"/>
          <w:szCs w:val="22"/>
        </w:rPr>
      </w:pPr>
      <w:r w:rsidRPr="00697D7D">
        <w:rPr>
          <w:rFonts w:ascii="Book Antiqua" w:hAnsi="Book Antiqua" w:cs="Arial"/>
          <w:sz w:val="22"/>
          <w:szCs w:val="22"/>
        </w:rPr>
        <w:t>b) are the measures which have been designed to meet it rationally connected to it?</w:t>
      </w:r>
    </w:p>
    <w:p w:rsidR="001F7BBA" w:rsidRPr="00697D7D" w:rsidRDefault="001F7BBA" w:rsidP="00CE2FB6">
      <w:pPr>
        <w:spacing w:beforeAutospacing="1" w:afterAutospacing="1"/>
        <w:ind w:left="1134"/>
        <w:jc w:val="both"/>
        <w:rPr>
          <w:rFonts w:ascii="Book Antiqua" w:hAnsi="Book Antiqua" w:cs="Arial"/>
          <w:sz w:val="22"/>
          <w:szCs w:val="22"/>
        </w:rPr>
      </w:pPr>
      <w:r w:rsidRPr="00697D7D">
        <w:rPr>
          <w:rFonts w:ascii="Book Antiqua" w:hAnsi="Book Antiqua" w:cs="Arial"/>
          <w:sz w:val="22"/>
          <w:szCs w:val="22"/>
        </w:rPr>
        <w:t>c) are they no more than are necessary to accomplish it?</w:t>
      </w:r>
    </w:p>
    <w:p w:rsidR="001F7BBA" w:rsidRPr="00697D7D" w:rsidRDefault="001F7BBA" w:rsidP="00CE2FB6">
      <w:pPr>
        <w:spacing w:beforeAutospacing="1" w:afterAutospacing="1"/>
        <w:ind w:left="1134"/>
        <w:jc w:val="both"/>
        <w:rPr>
          <w:rFonts w:ascii="Book Antiqua" w:hAnsi="Book Antiqua" w:cs="Arial"/>
          <w:sz w:val="22"/>
          <w:szCs w:val="22"/>
        </w:rPr>
      </w:pPr>
      <w:r w:rsidRPr="00697D7D">
        <w:rPr>
          <w:rFonts w:ascii="Book Antiqua" w:hAnsi="Book Antiqua" w:cs="Arial"/>
          <w:sz w:val="22"/>
          <w:szCs w:val="22"/>
        </w:rPr>
        <w:t>d) do they strike a fair balance between the rights of the individual and the interests of the community?</w:t>
      </w:r>
    </w:p>
    <w:p w:rsidR="001F7BBA" w:rsidRDefault="001F7BBA" w:rsidP="00CE2FB6">
      <w:pPr>
        <w:pStyle w:val="NormalWeb"/>
        <w:ind w:left="927"/>
        <w:jc w:val="both"/>
        <w:rPr>
          <w:rFonts w:ascii="Book Antiqua" w:hAnsi="Book Antiqua" w:cs="Arial"/>
          <w:sz w:val="22"/>
          <w:szCs w:val="22"/>
        </w:rPr>
      </w:pPr>
      <w:r w:rsidRPr="00697D7D">
        <w:rPr>
          <w:rFonts w:ascii="Book Antiqua" w:hAnsi="Book Antiqua" w:cs="Arial"/>
          <w:sz w:val="22"/>
          <w:szCs w:val="22"/>
        </w:rPr>
        <w:t>In the present case the requisite enquiry may touch on question (b) but the main focus is on questions (c) and (d).</w:t>
      </w:r>
      <w:r w:rsidR="007B4B71">
        <w:rPr>
          <w:rFonts w:ascii="Book Antiqua" w:hAnsi="Book Antiqua" w:cs="Arial"/>
          <w:sz w:val="22"/>
          <w:szCs w:val="22"/>
        </w:rPr>
        <w:t>”</w:t>
      </w:r>
    </w:p>
    <w:p w:rsidR="001F7BBA" w:rsidRDefault="00697D7D" w:rsidP="001F7BBA">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 Lord Wilson </w:t>
      </w:r>
      <w:r w:rsidR="001F7BBA">
        <w:rPr>
          <w:rFonts w:ascii="Book Antiqua" w:hAnsi="Book Antiqua" w:cs="Arial"/>
        </w:rPr>
        <w:t xml:space="preserve"> </w:t>
      </w:r>
      <w:r w:rsidR="00D6567D">
        <w:rPr>
          <w:rFonts w:ascii="Book Antiqua" w:hAnsi="Book Antiqua" w:cs="Arial"/>
        </w:rPr>
        <w:t>concluded</w:t>
      </w:r>
      <w:r w:rsidR="001F7BBA">
        <w:rPr>
          <w:rFonts w:ascii="Book Antiqua" w:hAnsi="Book Antiqua" w:cs="Arial"/>
        </w:rPr>
        <w:t xml:space="preserve"> at [</w:t>
      </w:r>
      <w:r w:rsidR="00D6567D">
        <w:rPr>
          <w:rFonts w:ascii="Book Antiqua" w:hAnsi="Book Antiqua" w:cs="Arial"/>
        </w:rPr>
        <w:t>58</w:t>
      </w:r>
      <w:r w:rsidR="001F7BBA">
        <w:rPr>
          <w:rFonts w:ascii="Book Antiqua" w:hAnsi="Book Antiqua" w:cs="Arial"/>
        </w:rPr>
        <w:t>]</w:t>
      </w:r>
    </w:p>
    <w:p w:rsidR="00D6567D" w:rsidRDefault="00D6567D" w:rsidP="00D6567D">
      <w:pPr>
        <w:tabs>
          <w:tab w:val="left" w:pos="567"/>
        </w:tabs>
        <w:ind w:left="1134"/>
        <w:jc w:val="both"/>
        <w:rPr>
          <w:rFonts w:ascii="Arial" w:hAnsi="Arial" w:cs="Arial"/>
          <w:sz w:val="20"/>
          <w:szCs w:val="20"/>
        </w:rPr>
      </w:pPr>
      <w:bookmarkStart w:id="4" w:name="para58"/>
    </w:p>
    <w:p w:rsidR="001F7BBA" w:rsidRPr="00697D7D" w:rsidRDefault="00D6567D" w:rsidP="00D6567D">
      <w:pPr>
        <w:tabs>
          <w:tab w:val="left" w:pos="567"/>
        </w:tabs>
        <w:ind w:left="1134"/>
        <w:jc w:val="both"/>
        <w:rPr>
          <w:rFonts w:ascii="Book Antiqua" w:hAnsi="Book Antiqua" w:cs="Arial"/>
          <w:sz w:val="22"/>
          <w:szCs w:val="22"/>
        </w:rPr>
      </w:pPr>
      <w:r w:rsidRPr="00697D7D">
        <w:rPr>
          <w:rFonts w:ascii="Book Antiqua" w:hAnsi="Book Antiqua" w:cs="Arial"/>
          <w:sz w:val="22"/>
          <w:szCs w:val="22"/>
        </w:rPr>
        <w:t>“</w:t>
      </w:r>
      <w:r w:rsidR="001F7BBA" w:rsidRPr="00697D7D">
        <w:rPr>
          <w:rFonts w:ascii="Book Antiqua" w:hAnsi="Book Antiqua" w:cs="Arial"/>
          <w:sz w:val="22"/>
          <w:szCs w:val="22"/>
        </w:rPr>
        <w:t>I would, in conclusion, acknowledge that the amendment is rationally connected to the objective of deterring forced marriages. So the Secretary of State provides a satisfactory answer to question (b) set out in para 45 above. But the number of forced marriages which it deters is highly debatable. What seems clear is that the number of unforced marriages which it obstructs from their intended development for up to three years vastly exceeds the number of forced marriages which it deters. Neither in the material which she published prior to the introduction of the amendment in 2008 nor in her evidence in these proceedings has the Secretary of State addressed this imbalance – still less sought to identify the scale of it. Even had it been correct to say that the scale of the imbalance was a matter of judgement for the Secretary of State rather than for the courts, it is not a judgement which, on the evidence before the court, she has ever made. She clearly fails to establish, in the words of question (c), that the amendment is no more than is necessary to accomplish her objective and, in the words of question (d), that it strikes a fair balance between the rights of the parties to unforced marriages and the interests of the community in preventing forced marriages. On any view it is a sledge-hammer</w:t>
      </w:r>
      <w:r w:rsidR="00532799" w:rsidRPr="00697D7D">
        <w:rPr>
          <w:rFonts w:ascii="Book Antiqua" w:hAnsi="Book Antiqua" w:cs="Arial"/>
          <w:sz w:val="22"/>
          <w:szCs w:val="22"/>
        </w:rPr>
        <w:t xml:space="preserve"> but she has not attempted to i</w:t>
      </w:r>
      <w:r w:rsidR="001F7BBA" w:rsidRPr="00697D7D">
        <w:rPr>
          <w:rFonts w:ascii="Book Antiqua" w:hAnsi="Book Antiqua" w:cs="Arial"/>
          <w:sz w:val="22"/>
          <w:szCs w:val="22"/>
        </w:rPr>
        <w:t>dentify the size of the nut. At all events she fails to establish that the interference with the rights of the respondents under article 8 is justified</w:t>
      </w:r>
      <w:bookmarkEnd w:id="4"/>
      <w:r w:rsidRPr="00697D7D">
        <w:rPr>
          <w:rFonts w:ascii="Book Antiqua" w:hAnsi="Book Antiqua" w:cs="Arial"/>
          <w:sz w:val="22"/>
          <w:szCs w:val="22"/>
        </w:rPr>
        <w:t>”</w:t>
      </w:r>
    </w:p>
    <w:p w:rsidR="00D6567D" w:rsidRDefault="00D6567D" w:rsidP="00D6567D">
      <w:pPr>
        <w:tabs>
          <w:tab w:val="left" w:pos="567"/>
        </w:tabs>
        <w:ind w:left="1134"/>
        <w:jc w:val="both"/>
        <w:rPr>
          <w:rFonts w:ascii="Book Antiqua" w:hAnsi="Book Antiqua" w:cs="Arial"/>
        </w:rPr>
      </w:pPr>
    </w:p>
    <w:p w:rsidR="00697D7D" w:rsidRDefault="00D6567D" w:rsidP="00697D7D">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By contrast the </w:t>
      </w:r>
      <w:r w:rsidR="00532799">
        <w:rPr>
          <w:rFonts w:ascii="Book Antiqua" w:hAnsi="Book Antiqua" w:cs="Arial"/>
        </w:rPr>
        <w:t>European</w:t>
      </w:r>
      <w:r>
        <w:rPr>
          <w:rFonts w:ascii="Book Antiqua" w:hAnsi="Book Antiqua" w:cs="Arial"/>
        </w:rPr>
        <w:t xml:space="preserve"> Court of Human Rights generally contents itself with the assessment of whether the interference can be </w:t>
      </w:r>
      <w:r w:rsidR="00532799">
        <w:rPr>
          <w:rFonts w:ascii="Book Antiqua" w:hAnsi="Book Antiqua" w:cs="Arial"/>
        </w:rPr>
        <w:t>justified</w:t>
      </w:r>
      <w:r>
        <w:rPr>
          <w:rFonts w:ascii="Book Antiqua" w:hAnsi="Book Antiqua" w:cs="Arial"/>
        </w:rPr>
        <w:t xml:space="preserve"> because it represents a fair balance </w:t>
      </w:r>
      <w:r w:rsidR="00532799">
        <w:rPr>
          <w:rFonts w:ascii="Book Antiqua" w:hAnsi="Book Antiqua" w:cs="Arial"/>
        </w:rPr>
        <w:t xml:space="preserve">of the competing interests rather than the least intrusive way of achieving the legitimate aim. However, </w:t>
      </w:r>
      <w:smartTag w:uri="urn:schemas-microsoft-com:office:smarttags" w:element="PlaceType">
        <w:r w:rsidR="00532799">
          <w:rPr>
            <w:rFonts w:ascii="Book Antiqua" w:hAnsi="Book Antiqua" w:cs="Arial"/>
          </w:rPr>
          <w:t>Strasbourg</w:t>
        </w:r>
      </w:smartTag>
      <w:r w:rsidR="00532799">
        <w:rPr>
          <w:rFonts w:ascii="Book Antiqua" w:hAnsi="Book Antiqua" w:cs="Arial"/>
        </w:rPr>
        <w:t xml:space="preserve"> has never suggested that the </w:t>
      </w:r>
      <w:r w:rsidR="00532799" w:rsidRPr="00532799">
        <w:rPr>
          <w:rFonts w:ascii="Book Antiqua" w:hAnsi="Book Antiqua" w:cs="Arial"/>
          <w:u w:val="single"/>
        </w:rPr>
        <w:t>Daly/Huang</w:t>
      </w:r>
      <w:r w:rsidR="00532799">
        <w:rPr>
          <w:rFonts w:ascii="Book Antiqua" w:hAnsi="Book Antiqua" w:cs="Arial"/>
        </w:rPr>
        <w:t xml:space="preserve"> approach is inconsistent with Article 8 ECHR, and similar</w:t>
      </w:r>
      <w:r w:rsidR="00F40117">
        <w:rPr>
          <w:rFonts w:ascii="Book Antiqua" w:hAnsi="Book Antiqua" w:cs="Arial"/>
        </w:rPr>
        <w:t>ly</w:t>
      </w:r>
      <w:r w:rsidR="00532799">
        <w:rPr>
          <w:rFonts w:ascii="Book Antiqua" w:hAnsi="Book Antiqua" w:cs="Arial"/>
        </w:rPr>
        <w:t xml:space="preserve"> has never suggested that it is inappropriate for the national court to ask whether it is reasonable to expect the couple to relocate the claimant’s country of origin.</w:t>
      </w:r>
      <w:r w:rsidR="001A3A63">
        <w:rPr>
          <w:rFonts w:ascii="Book Antiqua" w:hAnsi="Book Antiqua" w:cs="Arial"/>
        </w:rPr>
        <w:t xml:space="preserve"> We do not explore how this principle applies in </w:t>
      </w:r>
      <w:r w:rsidR="00F40117">
        <w:rPr>
          <w:rFonts w:ascii="Book Antiqua" w:hAnsi="Book Antiqua" w:cs="Arial"/>
        </w:rPr>
        <w:t>deportation appeals as opp</w:t>
      </w:r>
      <w:r w:rsidR="007B4B71">
        <w:rPr>
          <w:rFonts w:ascii="Book Antiqua" w:hAnsi="Book Antiqua" w:cs="Arial"/>
        </w:rPr>
        <w:t>osed to considerations of policy</w:t>
      </w:r>
      <w:r w:rsidR="00F40117">
        <w:rPr>
          <w:rFonts w:ascii="Book Antiqua" w:hAnsi="Book Antiqua" w:cs="Arial"/>
        </w:rPr>
        <w:t>. We note that in general if it is concluded that deportation or removal is necessary as a proportionate measure to protect a public interest  recognised by Article 8(2) nothing less will do, although in particular cases the length of the exclusion and the capacity for reform, particularly of a young  offender may be relevant considerations.</w:t>
      </w:r>
    </w:p>
    <w:p w:rsidR="00697D7D" w:rsidRDefault="00697D7D" w:rsidP="00697D7D">
      <w:pPr>
        <w:tabs>
          <w:tab w:val="left" w:pos="567"/>
        </w:tabs>
        <w:jc w:val="both"/>
        <w:rPr>
          <w:rFonts w:ascii="Book Antiqua" w:hAnsi="Book Antiqua" w:cs="Arial"/>
        </w:rPr>
      </w:pPr>
    </w:p>
    <w:p w:rsidR="00F5678F" w:rsidRDefault="002727AF" w:rsidP="002727AF">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Apart from the principle of subsidiarity, t</w:t>
      </w:r>
      <w:r w:rsidR="00532799">
        <w:rPr>
          <w:rFonts w:ascii="Book Antiqua" w:hAnsi="Book Antiqua" w:cs="Arial"/>
        </w:rPr>
        <w:t xml:space="preserve">here are </w:t>
      </w:r>
      <w:r>
        <w:rPr>
          <w:rFonts w:ascii="Book Antiqua" w:hAnsi="Book Antiqua" w:cs="Arial"/>
        </w:rPr>
        <w:t xml:space="preserve">further good </w:t>
      </w:r>
      <w:r w:rsidR="00532799">
        <w:rPr>
          <w:rFonts w:ascii="Book Antiqua" w:hAnsi="Book Antiqua" w:cs="Arial"/>
        </w:rPr>
        <w:t xml:space="preserve">reasons why the national approach may be more inclusive than the </w:t>
      </w:r>
      <w:smartTag w:uri="urn:schemas-microsoft-com:office:smarttags" w:element="PlaceType">
        <w:r w:rsidR="00532799">
          <w:rPr>
            <w:rFonts w:ascii="Book Antiqua" w:hAnsi="Book Antiqua" w:cs="Arial"/>
          </w:rPr>
          <w:t>Strasbourg</w:t>
        </w:r>
      </w:smartTag>
      <w:r w:rsidR="00532799">
        <w:rPr>
          <w:rFonts w:ascii="Book Antiqua" w:hAnsi="Book Antiqua" w:cs="Arial"/>
        </w:rPr>
        <w:t xml:space="preserve"> criteria. The </w:t>
      </w:r>
      <w:r w:rsidR="007C1135">
        <w:rPr>
          <w:rFonts w:ascii="Book Antiqua" w:hAnsi="Book Antiqua" w:cs="Arial"/>
        </w:rPr>
        <w:t>national court has to apply the Convention through the prism of other legal obligations, for example th</w:t>
      </w:r>
      <w:r w:rsidR="00B443D8">
        <w:rPr>
          <w:rFonts w:ascii="Book Antiqua" w:hAnsi="Book Antiqua" w:cs="Arial"/>
        </w:rPr>
        <w:t xml:space="preserve">e European Convention on </w:t>
      </w:r>
      <w:r w:rsidR="005759B5">
        <w:rPr>
          <w:rFonts w:ascii="Book Antiqua" w:hAnsi="Book Antiqua" w:cs="Arial"/>
        </w:rPr>
        <w:t>Establishment</w:t>
      </w:r>
      <w:r w:rsidR="00532799">
        <w:rPr>
          <w:rFonts w:ascii="Book Antiqua" w:hAnsi="Book Antiqua" w:cs="Arial"/>
        </w:rPr>
        <w:t xml:space="preserve"> 1955 </w:t>
      </w:r>
      <w:r w:rsidR="00B443D8">
        <w:rPr>
          <w:rFonts w:ascii="Book Antiqua" w:hAnsi="Book Antiqua" w:cs="Arial"/>
        </w:rPr>
        <w:t xml:space="preserve">Article 3 </w:t>
      </w:r>
      <w:r w:rsidR="00532799">
        <w:rPr>
          <w:rFonts w:ascii="Book Antiqua" w:hAnsi="Book Antiqua" w:cs="Arial"/>
        </w:rPr>
        <w:t>that affords particular weig</w:t>
      </w:r>
      <w:r w:rsidR="004076E9">
        <w:rPr>
          <w:rFonts w:ascii="Book Antiqua" w:hAnsi="Book Antiqua" w:cs="Arial"/>
        </w:rPr>
        <w:t xml:space="preserve">ht to 10 years lawful residence, </w:t>
      </w:r>
      <w:r w:rsidR="00B443D8">
        <w:rPr>
          <w:rFonts w:ascii="Book Antiqua" w:hAnsi="Book Antiqua" w:cs="Arial"/>
        </w:rPr>
        <w:t xml:space="preserve">or </w:t>
      </w:r>
      <w:r w:rsidR="00532799">
        <w:rPr>
          <w:rFonts w:ascii="Book Antiqua" w:hAnsi="Book Antiqua" w:cs="Arial"/>
        </w:rPr>
        <w:t xml:space="preserve">to </w:t>
      </w:r>
      <w:r w:rsidR="004076E9">
        <w:rPr>
          <w:rFonts w:ascii="Book Antiqua" w:hAnsi="Book Antiqua" w:cs="Arial"/>
        </w:rPr>
        <w:t xml:space="preserve">the consequences of nationality of the </w:t>
      </w:r>
      <w:r w:rsidR="00B443D8">
        <w:rPr>
          <w:rFonts w:ascii="Book Antiqua" w:hAnsi="Book Antiqua" w:cs="Arial"/>
        </w:rPr>
        <w:t xml:space="preserve">European Union </w:t>
      </w:r>
      <w:r w:rsidR="004076E9">
        <w:rPr>
          <w:rFonts w:ascii="Book Antiqua" w:hAnsi="Book Antiqua" w:cs="Arial"/>
        </w:rPr>
        <w:t>in respect of measures that force an EU national to leave the Union in breach of their right of residence</w:t>
      </w:r>
      <w:r w:rsidR="000A4F55">
        <w:rPr>
          <w:rFonts w:ascii="Book Antiqua" w:hAnsi="Book Antiqua" w:cs="Arial"/>
        </w:rPr>
        <w:t xml:space="preserve"> (see </w:t>
      </w:r>
      <w:r>
        <w:rPr>
          <w:rFonts w:ascii="Book Antiqua" w:hAnsi="Book Antiqua" w:cs="Arial"/>
        </w:rPr>
        <w:t xml:space="preserve">the Upper Tribunal’s conclusions in </w:t>
      </w:r>
      <w:r w:rsidR="000A4F55" w:rsidRPr="00F40117">
        <w:rPr>
          <w:rFonts w:ascii="Book Antiqua" w:hAnsi="Book Antiqua" w:cs="Arial"/>
          <w:u w:val="single"/>
        </w:rPr>
        <w:t>Sanade</w:t>
      </w:r>
      <w:r w:rsidR="004076E9" w:rsidRPr="00F40117">
        <w:rPr>
          <w:rFonts w:ascii="Book Antiqua" w:hAnsi="Book Antiqua" w:cs="Arial"/>
          <w:u w:val="single"/>
        </w:rPr>
        <w:t xml:space="preserve"> </w:t>
      </w:r>
      <w:r w:rsidRPr="00F40117">
        <w:rPr>
          <w:rFonts w:ascii="Book Antiqua" w:hAnsi="Book Antiqua" w:cs="Arial"/>
          <w:u w:val="single"/>
        </w:rPr>
        <w:t>and others</w:t>
      </w:r>
      <w:r>
        <w:rPr>
          <w:rFonts w:ascii="Book Antiqua" w:hAnsi="Book Antiqua" w:cs="Arial"/>
        </w:rPr>
        <w:t xml:space="preserve"> </w:t>
      </w:r>
      <w:r w:rsidR="00F40117">
        <w:rPr>
          <w:rFonts w:ascii="Book Antiqua" w:hAnsi="Book Antiqua" w:cs="Arial"/>
        </w:rPr>
        <w:t xml:space="preserve">(above) </w:t>
      </w:r>
      <w:r w:rsidR="004076E9">
        <w:rPr>
          <w:rFonts w:ascii="Book Antiqua" w:hAnsi="Book Antiqua" w:cs="Arial"/>
        </w:rPr>
        <w:t xml:space="preserve">applying </w:t>
      </w:r>
      <w:r>
        <w:rPr>
          <w:rFonts w:ascii="Book Antiqua" w:hAnsi="Book Antiqua" w:cs="Arial"/>
        </w:rPr>
        <w:t xml:space="preserve">the principle established in </w:t>
      </w:r>
      <w:r w:rsidR="004076E9" w:rsidRPr="002727AF">
        <w:rPr>
          <w:rFonts w:ascii="Book Antiqua" w:hAnsi="Book Antiqua" w:cs="Arial"/>
          <w:u w:val="single"/>
        </w:rPr>
        <w:t>Ruiz Zambrano</w:t>
      </w:r>
      <w:r w:rsidR="00F5678F" w:rsidRPr="00671151">
        <w:rPr>
          <w:rFonts w:ascii="Book Antiqua" w:hAnsi="Book Antiqua" w:cs="Arial"/>
        </w:rPr>
        <w:t xml:space="preserve">; </w:t>
      </w:r>
      <w:r w:rsidR="00F5678F" w:rsidRPr="007B4B71">
        <w:rPr>
          <w:rFonts w:ascii="Book Antiqua" w:hAnsi="Book Antiqua" w:cs="Arial"/>
        </w:rPr>
        <w:t>see also</w:t>
      </w:r>
      <w:r w:rsidR="00F5678F" w:rsidRPr="00CE2FB6">
        <w:rPr>
          <w:rFonts w:ascii="Book Antiqua" w:hAnsi="Book Antiqua" w:cs="Arial"/>
        </w:rPr>
        <w:t xml:space="preserve"> </w:t>
      </w:r>
      <w:r w:rsidR="00F5678F">
        <w:rPr>
          <w:rFonts w:ascii="Book Antiqua" w:hAnsi="Book Antiqua" w:cs="Arial"/>
          <w:u w:val="single"/>
        </w:rPr>
        <w:t>Harrison (Jamaica) v  SSHD</w:t>
      </w:r>
      <w:r w:rsidR="00F5678F" w:rsidRPr="00CE2FB6">
        <w:rPr>
          <w:rFonts w:ascii="Book Antiqua" w:hAnsi="Book Antiqua" w:cs="Arial"/>
        </w:rPr>
        <w:t xml:space="preserve"> </w:t>
      </w:r>
      <w:r w:rsidR="00F5678F">
        <w:rPr>
          <w:rFonts w:ascii="Book Antiqua" w:hAnsi="Book Antiqua" w:cs="Arial"/>
        </w:rPr>
        <w:t xml:space="preserve"> [2012</w:t>
      </w:r>
      <w:r w:rsidR="00F40117">
        <w:rPr>
          <w:rFonts w:ascii="Book Antiqua" w:hAnsi="Book Antiqua" w:cs="Arial"/>
        </w:rPr>
        <w:t>] EWCA Civ 1736 at [63] to [68] ).</w:t>
      </w:r>
    </w:p>
    <w:p w:rsidR="00F5678F" w:rsidRDefault="00F5678F" w:rsidP="00F5678F">
      <w:pPr>
        <w:tabs>
          <w:tab w:val="left" w:pos="567"/>
        </w:tabs>
        <w:jc w:val="both"/>
        <w:rPr>
          <w:rFonts w:ascii="Book Antiqua" w:hAnsi="Book Antiqua" w:cs="Arial"/>
        </w:rPr>
      </w:pPr>
    </w:p>
    <w:p w:rsidR="00F40117" w:rsidRDefault="002727AF" w:rsidP="002727AF">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w:t>
      </w:r>
      <w:r w:rsidR="00B443D8">
        <w:rPr>
          <w:rFonts w:ascii="Book Antiqua" w:hAnsi="Book Antiqua" w:cs="Arial"/>
        </w:rPr>
        <w:t xml:space="preserve">e uniform application of the Immigration Rules is not a legitimate aim in </w:t>
      </w:r>
      <w:r w:rsidR="00AB1FDF">
        <w:rPr>
          <w:rFonts w:ascii="Book Antiqua" w:hAnsi="Book Antiqua" w:cs="Arial"/>
        </w:rPr>
        <w:t>itself justifying</w:t>
      </w:r>
      <w:r w:rsidR="00B443D8">
        <w:rPr>
          <w:rFonts w:ascii="Book Antiqua" w:hAnsi="Book Antiqua" w:cs="Arial"/>
        </w:rPr>
        <w:t xml:space="preserve"> interference with Article </w:t>
      </w:r>
      <w:r w:rsidR="00AB1FDF">
        <w:rPr>
          <w:rFonts w:ascii="Book Antiqua" w:hAnsi="Book Antiqua" w:cs="Arial"/>
        </w:rPr>
        <w:t>8 rights</w:t>
      </w:r>
      <w:r w:rsidR="00B443D8">
        <w:rPr>
          <w:rFonts w:ascii="Book Antiqua" w:hAnsi="Book Antiqua" w:cs="Arial"/>
        </w:rPr>
        <w:t xml:space="preserve"> but a means </w:t>
      </w:r>
      <w:r w:rsidR="00AB1FDF">
        <w:rPr>
          <w:rFonts w:ascii="Book Antiqua" w:hAnsi="Book Antiqua" w:cs="Arial"/>
        </w:rPr>
        <w:t>of maintaining</w:t>
      </w:r>
      <w:r w:rsidR="00B443D8">
        <w:rPr>
          <w:rFonts w:ascii="Book Antiqua" w:hAnsi="Book Antiqua" w:cs="Arial"/>
        </w:rPr>
        <w:t xml:space="preserve"> public safety, the economic well being of the country, prevention of disorder or crime, the protection of health or morals and the rights and freedoms o</w:t>
      </w:r>
      <w:r w:rsidR="00AB1FDF">
        <w:rPr>
          <w:rFonts w:ascii="Book Antiqua" w:hAnsi="Book Antiqua" w:cs="Arial"/>
        </w:rPr>
        <w:t xml:space="preserve">thers, </w:t>
      </w:r>
      <w:r>
        <w:rPr>
          <w:rFonts w:ascii="Book Antiqua" w:hAnsi="Book Antiqua" w:cs="Arial"/>
        </w:rPr>
        <w:t>(</w:t>
      </w:r>
      <w:r w:rsidR="00AB1FDF">
        <w:rPr>
          <w:rFonts w:ascii="Book Antiqua" w:hAnsi="Book Antiqua" w:cs="Arial"/>
        </w:rPr>
        <w:t xml:space="preserve">see Blake J in </w:t>
      </w:r>
      <w:r w:rsidR="00AB1FDF" w:rsidRPr="00AB1FDF">
        <w:rPr>
          <w:rFonts w:ascii="Book Antiqua" w:hAnsi="Book Antiqua" w:cs="Arial"/>
          <w:u w:val="single"/>
        </w:rPr>
        <w:t>R (Mansoor) v SSHD</w:t>
      </w:r>
      <w:r w:rsidR="00AB1FDF">
        <w:rPr>
          <w:rFonts w:ascii="Book Antiqua" w:hAnsi="Book Antiqua" w:cs="Arial"/>
        </w:rPr>
        <w:t xml:space="preserve"> [2011] EWHC 832 (Admin) [34] to [38]</w:t>
      </w:r>
      <w:r>
        <w:rPr>
          <w:rFonts w:ascii="Book Antiqua" w:hAnsi="Book Antiqua" w:cs="Arial"/>
        </w:rPr>
        <w:t xml:space="preserve"> noted without</w:t>
      </w:r>
      <w:r w:rsidR="00F5678F">
        <w:rPr>
          <w:rFonts w:ascii="Book Antiqua" w:hAnsi="Book Antiqua" w:cs="Arial"/>
        </w:rPr>
        <w:t xml:space="preserve"> disapproval </w:t>
      </w:r>
      <w:r w:rsidR="00F5678F" w:rsidRPr="00F5678F">
        <w:rPr>
          <w:rFonts w:ascii="Book Antiqua" w:hAnsi="Book Antiqua" w:cs="Arial"/>
        </w:rPr>
        <w:t xml:space="preserve">in  </w:t>
      </w:r>
      <w:r w:rsidR="00F5678F" w:rsidRPr="00F40117">
        <w:rPr>
          <w:rFonts w:ascii="Book Antiqua" w:hAnsi="Book Antiqua"/>
          <w:iCs/>
          <w:u w:val="single"/>
        </w:rPr>
        <w:t>SSHD v Treebhowan; SSHD v Hayat (Pakistan)</w:t>
      </w:r>
      <w:r w:rsidR="00F5678F" w:rsidRPr="00F5678F">
        <w:rPr>
          <w:iCs/>
        </w:rPr>
        <w:t xml:space="preserve"> </w:t>
      </w:r>
      <w:r w:rsidR="00F40117">
        <w:t>[2012] EWCA Civ 1054, at [</w:t>
      </w:r>
      <w:r w:rsidR="00F5678F" w:rsidRPr="00F5678F">
        <w:t>76</w:t>
      </w:r>
      <w:r w:rsidR="00F40117">
        <w:t>]</w:t>
      </w:r>
      <w:r w:rsidR="00F5678F" w:rsidRPr="00F5678F">
        <w:t xml:space="preserve"> per Elias LJ</w:t>
      </w:r>
      <w:r w:rsidR="00F40117">
        <w:rPr>
          <w:rFonts w:ascii="Book Antiqua" w:hAnsi="Book Antiqua" w:cs="Arial"/>
        </w:rPr>
        <w:t>).</w:t>
      </w:r>
      <w:r w:rsidR="00AB1FDF">
        <w:rPr>
          <w:rFonts w:ascii="Book Antiqua" w:hAnsi="Book Antiqua" w:cs="Arial"/>
        </w:rPr>
        <w:t xml:space="preserve"> The</w:t>
      </w:r>
      <w:r>
        <w:rPr>
          <w:rFonts w:ascii="Book Antiqua" w:hAnsi="Book Antiqua" w:cs="Arial"/>
        </w:rPr>
        <w:t xml:space="preserve">refore, the </w:t>
      </w:r>
      <w:r w:rsidR="00AB1FDF">
        <w:rPr>
          <w:rFonts w:ascii="Book Antiqua" w:hAnsi="Book Antiqua" w:cs="Arial"/>
        </w:rPr>
        <w:t xml:space="preserve">fact that a person cannot meet the requirements for leave under HC 194 does not mean that the Secretary of State can </w:t>
      </w:r>
      <w:r>
        <w:rPr>
          <w:rFonts w:ascii="Book Antiqua" w:hAnsi="Book Antiqua" w:cs="Arial"/>
        </w:rPr>
        <w:t>for that reason</w:t>
      </w:r>
      <w:r w:rsidR="00F40117">
        <w:rPr>
          <w:rFonts w:ascii="Book Antiqua" w:hAnsi="Book Antiqua" w:cs="Arial"/>
        </w:rPr>
        <w:t xml:space="preserve"> alone demonstrate</w:t>
      </w:r>
      <w:r w:rsidR="00AB1FDF">
        <w:rPr>
          <w:rFonts w:ascii="Book Antiqua" w:hAnsi="Book Antiqua" w:cs="Arial"/>
        </w:rPr>
        <w:t xml:space="preserve"> a proportionate and justified i</w:t>
      </w:r>
      <w:r>
        <w:rPr>
          <w:rFonts w:ascii="Book Antiqua" w:hAnsi="Book Antiqua" w:cs="Arial"/>
        </w:rPr>
        <w:t>nterference to prevent disorder.</w:t>
      </w:r>
      <w:r w:rsidR="007651B0">
        <w:rPr>
          <w:rFonts w:ascii="Book Antiqua" w:hAnsi="Book Antiqua" w:cs="Arial"/>
        </w:rPr>
        <w:t xml:space="preserve"> </w:t>
      </w:r>
    </w:p>
    <w:p w:rsidR="00F40117" w:rsidRDefault="00F40117" w:rsidP="00F40117">
      <w:pPr>
        <w:tabs>
          <w:tab w:val="left" w:pos="567"/>
        </w:tabs>
        <w:jc w:val="both"/>
        <w:rPr>
          <w:rFonts w:ascii="Book Antiqua" w:hAnsi="Book Antiqua" w:cs="Arial"/>
        </w:rPr>
      </w:pPr>
    </w:p>
    <w:p w:rsidR="007B39B8" w:rsidRDefault="007651B0" w:rsidP="002727AF">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We agree with the claimant’s submission that reliance on the authorities dealing with Article 8</w:t>
      </w:r>
      <w:r w:rsidR="00F40117">
        <w:rPr>
          <w:rFonts w:ascii="Book Antiqua" w:hAnsi="Book Antiqua" w:cs="Arial"/>
        </w:rPr>
        <w:t xml:space="preserve"> in the context of extradition </w:t>
      </w:r>
      <w:r>
        <w:rPr>
          <w:rFonts w:ascii="Book Antiqua" w:hAnsi="Book Antiqua" w:cs="Arial"/>
        </w:rPr>
        <w:t xml:space="preserve">will not normally be helpful </w:t>
      </w:r>
      <w:r w:rsidR="00F40117">
        <w:rPr>
          <w:rFonts w:ascii="Book Antiqua" w:hAnsi="Book Antiqua" w:cs="Arial"/>
        </w:rPr>
        <w:t xml:space="preserve">in the context of deportation </w:t>
      </w:r>
      <w:r>
        <w:rPr>
          <w:rFonts w:ascii="Book Antiqua" w:hAnsi="Book Antiqua" w:cs="Arial"/>
        </w:rPr>
        <w:t xml:space="preserve">as there the legitimate aim of prosecuting criminals pursuant to an extradition agreement is </w:t>
      </w:r>
      <w:r w:rsidR="00F40117">
        <w:rPr>
          <w:rFonts w:ascii="Book Antiqua" w:hAnsi="Book Antiqua" w:cs="Arial"/>
        </w:rPr>
        <w:t>significantl</w:t>
      </w:r>
      <w:r>
        <w:rPr>
          <w:rFonts w:ascii="Book Antiqua" w:hAnsi="Book Antiqua" w:cs="Arial"/>
        </w:rPr>
        <w:t>y different.</w:t>
      </w:r>
    </w:p>
    <w:p w:rsidR="002727AF" w:rsidRDefault="002727AF" w:rsidP="002727AF">
      <w:pPr>
        <w:tabs>
          <w:tab w:val="left" w:pos="567"/>
        </w:tabs>
        <w:jc w:val="both"/>
        <w:rPr>
          <w:rFonts w:ascii="Book Antiqua" w:hAnsi="Book Antiqua" w:cs="Arial"/>
        </w:rPr>
      </w:pPr>
    </w:p>
    <w:p w:rsidR="002727AF" w:rsidRDefault="002727AF" w:rsidP="002727AF">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Accordingly</w:t>
      </w:r>
      <w:r w:rsidR="00F40117">
        <w:rPr>
          <w:rFonts w:ascii="Book Antiqua" w:hAnsi="Book Antiqua" w:cs="Arial"/>
        </w:rPr>
        <w:t>, we conclude</w:t>
      </w:r>
      <w:r>
        <w:rPr>
          <w:rFonts w:ascii="Book Antiqua" w:hAnsi="Book Antiqua" w:cs="Arial"/>
        </w:rPr>
        <w:t xml:space="preserve"> there can be no presumption that the Rules will normally be conclusive of the Article 8 assessment</w:t>
      </w:r>
      <w:r w:rsidR="00F40117">
        <w:rPr>
          <w:rFonts w:ascii="Book Antiqua" w:hAnsi="Book Antiqua" w:cs="Arial"/>
        </w:rPr>
        <w:t xml:space="preserve"> or that </w:t>
      </w:r>
      <w:r>
        <w:rPr>
          <w:rFonts w:ascii="Book Antiqua" w:hAnsi="Book Antiqua" w:cs="Arial"/>
        </w:rPr>
        <w:t xml:space="preserve">a fact sensitive inquiry is not normally needed. Indeed, the conclusion under the Rules </w:t>
      </w:r>
      <w:r w:rsidR="00B66CCC">
        <w:rPr>
          <w:rFonts w:ascii="Book Antiqua" w:hAnsi="Book Antiqua" w:cs="Arial"/>
        </w:rPr>
        <w:t>may often have li</w:t>
      </w:r>
      <w:r>
        <w:rPr>
          <w:rFonts w:ascii="Book Antiqua" w:hAnsi="Book Antiqua" w:cs="Arial"/>
        </w:rPr>
        <w:t xml:space="preserve">ttle bearing on the judge’s own assessment of proportionality.  The Secretary of State may decide to only grant leave to remain in cases where there would be insurmountable obstacles to the family relocating to any country but the judge is unlikely to give weight to that factor in the proportionality assessment </w:t>
      </w:r>
      <w:r w:rsidR="007B4B71">
        <w:rPr>
          <w:rFonts w:ascii="Book Antiqua" w:hAnsi="Book Antiqua" w:cs="Arial"/>
        </w:rPr>
        <w:t xml:space="preserve">if </w:t>
      </w:r>
      <w:r>
        <w:rPr>
          <w:rFonts w:ascii="Book Antiqua" w:hAnsi="Book Antiqua" w:cs="Arial"/>
        </w:rPr>
        <w:t>he or she concludes that the obstacles to relocation are substantial and in the circumstances it would not be reasonable to expect the other family members to relocate there, whether for reasons of nationality, length of residence, the best interest of the child or otherwise. If there is no presumpt</w:t>
      </w:r>
      <w:r w:rsidR="007B4B71">
        <w:rPr>
          <w:rFonts w:ascii="Book Antiqua" w:hAnsi="Book Antiqua" w:cs="Arial"/>
        </w:rPr>
        <w:t>ion that the provisions of the r</w:t>
      </w:r>
      <w:r>
        <w:rPr>
          <w:rFonts w:ascii="Book Antiqua" w:hAnsi="Book Antiqua" w:cs="Arial"/>
        </w:rPr>
        <w:t>ules reflect and apply the balance between the competing considerations, exceptional circumstances cannot be the test to be applied under the law.</w:t>
      </w:r>
    </w:p>
    <w:p w:rsidR="002727AF" w:rsidRDefault="002727AF" w:rsidP="002727AF">
      <w:pPr>
        <w:tabs>
          <w:tab w:val="left" w:pos="567"/>
        </w:tabs>
        <w:jc w:val="both"/>
        <w:rPr>
          <w:rFonts w:ascii="Book Antiqua" w:hAnsi="Book Antiqua" w:cs="Arial"/>
        </w:rPr>
      </w:pPr>
    </w:p>
    <w:p w:rsidR="00B66CCC" w:rsidRDefault="002727AF" w:rsidP="002F056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However, when the judge makes his evaluation of proportionality under the law, </w:t>
      </w:r>
      <w:r w:rsidR="002F0564">
        <w:rPr>
          <w:rFonts w:ascii="Book Antiqua" w:hAnsi="Book Antiqua" w:cs="Arial"/>
        </w:rPr>
        <w:t>he or she is entitled to have regard to particular factors identified in the international and nati</w:t>
      </w:r>
      <w:r w:rsidR="007B4B71">
        <w:rPr>
          <w:rFonts w:ascii="Book Antiqua" w:hAnsi="Book Antiqua" w:cs="Arial"/>
        </w:rPr>
        <w:t>onal jurisprudence whether they</w:t>
      </w:r>
      <w:r w:rsidR="002F0564">
        <w:rPr>
          <w:rFonts w:ascii="Book Antiqua" w:hAnsi="Book Antiqua" w:cs="Arial"/>
        </w:rPr>
        <w:t xml:space="preserve"> are reflected in the rules or not. The cases continue to make relevant distinctions depending on the circumstances between criminal conduct and a failure to meet the requirements for continued residence; between criminality of an intermediate degree of seriousness and lengthy sentences for conduct of the highest degree of seriousness; between offenders whose propensity to re offend makes them a danger to the host community and those whose conduct is unlikely to be repeated; between those who were lawfully admitted when family life arose and those who were not;  between those who have resided here</w:t>
      </w:r>
      <w:r w:rsidR="00C20C5A">
        <w:rPr>
          <w:rFonts w:ascii="Book Antiqua" w:hAnsi="Book Antiqua" w:cs="Arial"/>
        </w:rPr>
        <w:t xml:space="preserve"> for many years or most of their</w:t>
      </w:r>
      <w:r w:rsidR="002F0564">
        <w:rPr>
          <w:rFonts w:ascii="Book Antiqua" w:hAnsi="Book Antiqua" w:cs="Arial"/>
        </w:rPr>
        <w:t xml:space="preserve"> life and others; between those whose family members are UK nationals and those who are not; between those irrespective of nationality who have strong and substantial ties with the claimant’s country o</w:t>
      </w:r>
      <w:r w:rsidR="00B66CCC">
        <w:rPr>
          <w:rFonts w:ascii="Book Antiqua" w:hAnsi="Book Antiqua" w:cs="Arial"/>
        </w:rPr>
        <w:t xml:space="preserve">f origin and those who do not. </w:t>
      </w:r>
    </w:p>
    <w:p w:rsidR="00671151" w:rsidRDefault="002F0564" w:rsidP="002F056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w:t>
      </w:r>
      <w:smartTag w:uri="urn:schemas-microsoft-com:office:smarttags" w:element="PlaceType">
        <w:r>
          <w:rPr>
            <w:rFonts w:ascii="Book Antiqua" w:hAnsi="Book Antiqua" w:cs="Arial"/>
          </w:rPr>
          <w:t>Strasbourg</w:t>
        </w:r>
      </w:smartTag>
      <w:r w:rsidR="00671151">
        <w:rPr>
          <w:rFonts w:ascii="Book Antiqua" w:hAnsi="Book Antiqua" w:cs="Arial"/>
        </w:rPr>
        <w:t xml:space="preserve"> case law </w:t>
      </w:r>
      <w:r>
        <w:rPr>
          <w:rFonts w:ascii="Book Antiqua" w:hAnsi="Book Antiqua" w:cs="Arial"/>
        </w:rPr>
        <w:t>indicate</w:t>
      </w:r>
      <w:r w:rsidR="00671151">
        <w:rPr>
          <w:rFonts w:ascii="Book Antiqua" w:hAnsi="Book Antiqua" w:cs="Arial"/>
        </w:rPr>
        <w:t>s</w:t>
      </w:r>
      <w:r>
        <w:rPr>
          <w:rFonts w:ascii="Book Antiqua" w:hAnsi="Book Antiqua" w:cs="Arial"/>
        </w:rPr>
        <w:t xml:space="preserve"> </w:t>
      </w:r>
      <w:r w:rsidR="00671151">
        <w:rPr>
          <w:rFonts w:ascii="Book Antiqua" w:hAnsi="Book Antiqua" w:cs="Arial"/>
        </w:rPr>
        <w:t xml:space="preserve">that </w:t>
      </w:r>
      <w:r>
        <w:rPr>
          <w:rFonts w:ascii="Book Antiqua" w:hAnsi="Book Antiqua" w:cs="Arial"/>
        </w:rPr>
        <w:t>weighty reason</w:t>
      </w:r>
      <w:r w:rsidR="00B66CCC">
        <w:rPr>
          <w:rFonts w:ascii="Book Antiqua" w:hAnsi="Book Antiqua" w:cs="Arial"/>
        </w:rPr>
        <w:t>s</w:t>
      </w:r>
      <w:r>
        <w:rPr>
          <w:rFonts w:ascii="Book Antiqua" w:hAnsi="Book Antiqua" w:cs="Arial"/>
        </w:rPr>
        <w:t xml:space="preserve"> are needed to justify expulsion of someone who has had long residence as a child or that would risk separating devoted partners in a family relationship. It may, </w:t>
      </w:r>
      <w:r w:rsidR="00B66CCC">
        <w:rPr>
          <w:rFonts w:ascii="Book Antiqua" w:hAnsi="Book Antiqua" w:cs="Arial"/>
        </w:rPr>
        <w:t xml:space="preserve">by </w:t>
      </w:r>
      <w:r>
        <w:rPr>
          <w:rFonts w:ascii="Book Antiqua" w:hAnsi="Book Antiqua" w:cs="Arial"/>
        </w:rPr>
        <w:t xml:space="preserve">contrast, require weighty reasons or exceptional factors to outweigh the strong justification for the expulsion of those who entered by deception, remained by fraud, </w:t>
      </w:r>
      <w:r w:rsidR="003D623F">
        <w:rPr>
          <w:rFonts w:ascii="Book Antiqua" w:hAnsi="Book Antiqua" w:cs="Arial"/>
        </w:rPr>
        <w:t>established their relationship in the host state</w:t>
      </w:r>
      <w:r w:rsidR="00B66CCC">
        <w:rPr>
          <w:rFonts w:ascii="Book Antiqua" w:hAnsi="Book Antiqua" w:cs="Arial"/>
        </w:rPr>
        <w:t xml:space="preserve"> in precarious</w:t>
      </w:r>
      <w:r w:rsidR="003D623F">
        <w:rPr>
          <w:rFonts w:ascii="Book Antiqua" w:hAnsi="Book Antiqua" w:cs="Arial"/>
        </w:rPr>
        <w:t xml:space="preserve"> circumstances and never have had an expectation of being permitted to remain to conduct their family and private life in the host state. </w:t>
      </w:r>
    </w:p>
    <w:p w:rsidR="00671151" w:rsidRDefault="00671151" w:rsidP="00671151">
      <w:pPr>
        <w:tabs>
          <w:tab w:val="left" w:pos="567"/>
        </w:tabs>
        <w:jc w:val="both"/>
        <w:rPr>
          <w:rFonts w:ascii="Book Antiqua" w:hAnsi="Book Antiqua" w:cs="Arial"/>
        </w:rPr>
      </w:pPr>
    </w:p>
    <w:p w:rsidR="00F5678F" w:rsidRDefault="003D623F" w:rsidP="002F056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The use made of such guidance by the Upper Tribunal and the application in the course</w:t>
      </w:r>
      <w:r w:rsidR="00385AB3">
        <w:rPr>
          <w:rFonts w:ascii="Book Antiqua" w:hAnsi="Book Antiqua" w:cs="Arial"/>
        </w:rPr>
        <w:t xml:space="preserve"> of the evaluation of the term exceptional circumstances</w:t>
      </w:r>
      <w:r>
        <w:rPr>
          <w:rFonts w:ascii="Book Antiqua" w:hAnsi="Book Antiqua" w:cs="Arial"/>
        </w:rPr>
        <w:t xml:space="preserve"> is not a reference to a definitive </w:t>
      </w:r>
      <w:r w:rsidR="0039733C">
        <w:rPr>
          <w:rFonts w:ascii="Book Antiqua" w:hAnsi="Book Antiqua" w:cs="Arial"/>
        </w:rPr>
        <w:t>test or</w:t>
      </w:r>
      <w:r>
        <w:rPr>
          <w:rFonts w:ascii="Book Antiqua" w:hAnsi="Book Antiqua" w:cs="Arial"/>
        </w:rPr>
        <w:t xml:space="preserve"> otherwise unlawful, but is an appropriate way of setting the </w:t>
      </w:r>
      <w:r w:rsidR="00B66CCC">
        <w:rPr>
          <w:rFonts w:ascii="Book Antiqua" w:hAnsi="Book Antiqua" w:cs="Arial"/>
        </w:rPr>
        <w:t xml:space="preserve">context </w:t>
      </w:r>
      <w:r>
        <w:rPr>
          <w:rFonts w:ascii="Book Antiqua" w:hAnsi="Book Antiqua" w:cs="Arial"/>
        </w:rPr>
        <w:t xml:space="preserve">for the </w:t>
      </w:r>
      <w:r w:rsidR="0039733C">
        <w:rPr>
          <w:rFonts w:ascii="Book Antiqua" w:hAnsi="Book Antiqua" w:cs="Arial"/>
        </w:rPr>
        <w:t>particular decision</w:t>
      </w:r>
      <w:r>
        <w:rPr>
          <w:rFonts w:ascii="Book Antiqua" w:hAnsi="Book Antiqua" w:cs="Arial"/>
        </w:rPr>
        <w:t xml:space="preserve"> (see </w:t>
      </w:r>
      <w:r w:rsidR="00F5678F" w:rsidRPr="00F5678F">
        <w:rPr>
          <w:rFonts w:ascii="Book Antiqua" w:hAnsi="Book Antiqua" w:cs="Arial"/>
          <w:u w:val="single"/>
        </w:rPr>
        <w:t>Harrison (Jamaica) v SSHD</w:t>
      </w:r>
      <w:r>
        <w:rPr>
          <w:rFonts w:ascii="Book Antiqua" w:hAnsi="Book Antiqua" w:cs="Arial"/>
        </w:rPr>
        <w:t xml:space="preserve">   [2012] EWCA Civ </w:t>
      </w:r>
      <w:r w:rsidR="00F5678F">
        <w:rPr>
          <w:rFonts w:ascii="Book Antiqua" w:hAnsi="Book Antiqua" w:cs="Arial"/>
        </w:rPr>
        <w:t>1736</w:t>
      </w:r>
      <w:r w:rsidR="00CE2FB6">
        <w:rPr>
          <w:rFonts w:ascii="Book Antiqua" w:hAnsi="Book Antiqua" w:cs="Arial"/>
        </w:rPr>
        <w:t>,</w:t>
      </w:r>
      <w:r w:rsidR="00F5678F">
        <w:rPr>
          <w:rFonts w:ascii="Book Antiqua" w:hAnsi="Book Antiqua" w:cs="Arial"/>
        </w:rPr>
        <w:t xml:space="preserve"> 21 December </w:t>
      </w:r>
      <w:r w:rsidR="0039733C">
        <w:rPr>
          <w:rFonts w:ascii="Book Antiqua" w:hAnsi="Book Antiqua" w:cs="Arial"/>
        </w:rPr>
        <w:t>2012 at</w:t>
      </w:r>
      <w:r w:rsidR="00B66CCC">
        <w:rPr>
          <w:rFonts w:ascii="Book Antiqua" w:hAnsi="Book Antiqua" w:cs="Arial"/>
        </w:rPr>
        <w:t xml:space="preserve"> [72] to [74</w:t>
      </w:r>
      <w:r w:rsidR="00F5678F">
        <w:rPr>
          <w:rFonts w:ascii="Book Antiqua" w:hAnsi="Book Antiqua" w:cs="Arial"/>
        </w:rPr>
        <w:t>]</w:t>
      </w:r>
      <w:r w:rsidR="00CE2FB6">
        <w:rPr>
          <w:rFonts w:ascii="Book Antiqua" w:hAnsi="Book Antiqua" w:cs="Arial"/>
        </w:rPr>
        <w:t>)</w:t>
      </w:r>
      <w:r w:rsidR="00B66CCC">
        <w:rPr>
          <w:rFonts w:ascii="Book Antiqua" w:hAnsi="Book Antiqua" w:cs="Arial"/>
        </w:rPr>
        <w:t>.</w:t>
      </w:r>
    </w:p>
    <w:p w:rsidR="00F5678F" w:rsidRDefault="00F5678F" w:rsidP="00F5678F">
      <w:pPr>
        <w:tabs>
          <w:tab w:val="left" w:pos="567"/>
        </w:tabs>
        <w:jc w:val="both"/>
        <w:rPr>
          <w:rFonts w:ascii="Book Antiqua" w:hAnsi="Book Antiqua" w:cs="Arial"/>
        </w:rPr>
      </w:pPr>
    </w:p>
    <w:p w:rsidR="00AB1FDF" w:rsidRPr="00AB1FDF" w:rsidRDefault="00AB1FDF" w:rsidP="00AB1FDF">
      <w:pPr>
        <w:tabs>
          <w:tab w:val="left" w:pos="567"/>
        </w:tabs>
        <w:jc w:val="both"/>
        <w:rPr>
          <w:rFonts w:ascii="Book Antiqua" w:hAnsi="Book Antiqua" w:cs="Arial"/>
          <w:u w:val="single"/>
        </w:rPr>
      </w:pPr>
      <w:r>
        <w:rPr>
          <w:rFonts w:ascii="Book Antiqua" w:hAnsi="Book Antiqua" w:cs="Arial"/>
          <w:u w:val="single"/>
        </w:rPr>
        <w:t>E</w:t>
      </w:r>
      <w:r w:rsidRPr="00AB1FDF">
        <w:rPr>
          <w:rFonts w:ascii="Book Antiqua" w:hAnsi="Book Antiqua" w:cs="Arial"/>
          <w:u w:val="single"/>
        </w:rPr>
        <w:t>rror of law</w:t>
      </w:r>
    </w:p>
    <w:p w:rsidR="00AB1FDF" w:rsidRDefault="00AB1FDF" w:rsidP="007B39B8">
      <w:pPr>
        <w:tabs>
          <w:tab w:val="left" w:pos="567"/>
        </w:tabs>
        <w:jc w:val="both"/>
        <w:rPr>
          <w:rFonts w:ascii="Book Antiqua" w:hAnsi="Book Antiqua" w:cs="Arial"/>
        </w:rPr>
      </w:pPr>
    </w:p>
    <w:p w:rsidR="005759B5" w:rsidRDefault="00AB1FDF"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We </w:t>
      </w:r>
      <w:r w:rsidR="005759B5">
        <w:rPr>
          <w:rFonts w:ascii="Book Antiqua" w:hAnsi="Book Antiqua" w:cs="Arial"/>
        </w:rPr>
        <w:t>now return to the case in hand and consider each of the four grounds of appeal</w:t>
      </w:r>
      <w:r w:rsidR="00D53B99">
        <w:rPr>
          <w:rFonts w:ascii="Book Antiqua" w:hAnsi="Book Antiqua" w:cs="Arial"/>
        </w:rPr>
        <w:t xml:space="preserve"> n</w:t>
      </w:r>
      <w:r w:rsidR="005759B5">
        <w:rPr>
          <w:rFonts w:ascii="Book Antiqua" w:hAnsi="Book Antiqua" w:cs="Arial"/>
        </w:rPr>
        <w:t>oted at [23] above.</w:t>
      </w:r>
    </w:p>
    <w:p w:rsidR="005759B5" w:rsidRDefault="005759B5" w:rsidP="005759B5">
      <w:pPr>
        <w:tabs>
          <w:tab w:val="left" w:pos="567"/>
        </w:tabs>
        <w:jc w:val="both"/>
        <w:rPr>
          <w:rFonts w:ascii="Book Antiqua" w:hAnsi="Book Antiqua" w:cs="Arial"/>
        </w:rPr>
      </w:pPr>
    </w:p>
    <w:p w:rsidR="000A4F55" w:rsidRDefault="00D53B99" w:rsidP="000A4F55">
      <w:pPr>
        <w:numPr>
          <w:ilvl w:val="0"/>
          <w:numId w:val="1"/>
        </w:numPr>
        <w:tabs>
          <w:tab w:val="clear" w:pos="927"/>
          <w:tab w:val="left" w:pos="567"/>
        </w:tabs>
        <w:ind w:left="540" w:hanging="540"/>
        <w:jc w:val="both"/>
        <w:rPr>
          <w:rFonts w:ascii="Book Antiqua" w:hAnsi="Book Antiqua" w:cs="Arial"/>
        </w:rPr>
      </w:pPr>
      <w:r w:rsidRPr="003D623F">
        <w:rPr>
          <w:rFonts w:ascii="Book Antiqua" w:hAnsi="Book Antiqua" w:cs="Arial"/>
          <w:b/>
        </w:rPr>
        <w:t>Ground One</w:t>
      </w:r>
      <w:r>
        <w:rPr>
          <w:rFonts w:ascii="Book Antiqua" w:hAnsi="Book Antiqua" w:cs="Arial"/>
        </w:rPr>
        <w:t xml:space="preserve">: </w:t>
      </w:r>
      <w:r w:rsidR="00AB1FDF">
        <w:rPr>
          <w:rFonts w:ascii="Book Antiqua" w:hAnsi="Book Antiqua" w:cs="Arial"/>
        </w:rPr>
        <w:t>It follows from what we have said above, that a judge considering a decision made on or after 9 July 2012 should consider whether the claimant complies with HC 194 and Appendix</w:t>
      </w:r>
      <w:r w:rsidR="005759B5">
        <w:rPr>
          <w:rFonts w:ascii="Book Antiqua" w:hAnsi="Book Antiqua" w:cs="Arial"/>
        </w:rPr>
        <w:t xml:space="preserve"> FM.  Judge Keane did not do so</w:t>
      </w:r>
      <w:r w:rsidR="00AB1FDF">
        <w:rPr>
          <w:rFonts w:ascii="Book Antiqua" w:hAnsi="Book Antiqua" w:cs="Arial"/>
        </w:rPr>
        <w:t xml:space="preserve">. </w:t>
      </w:r>
      <w:r w:rsidR="005759B5">
        <w:rPr>
          <w:rFonts w:ascii="Book Antiqua" w:hAnsi="Book Antiqua" w:cs="Arial"/>
        </w:rPr>
        <w:t xml:space="preserve">It </w:t>
      </w:r>
      <w:r w:rsidR="00AB1FDF">
        <w:rPr>
          <w:rFonts w:ascii="Book Antiqua" w:hAnsi="Book Antiqua" w:cs="Arial"/>
        </w:rPr>
        <w:t xml:space="preserve">is accepted to be the case, </w:t>
      </w:r>
      <w:r w:rsidR="003D623F">
        <w:rPr>
          <w:rFonts w:ascii="Book Antiqua" w:hAnsi="Book Antiqua" w:cs="Arial"/>
        </w:rPr>
        <w:t>that</w:t>
      </w:r>
      <w:r w:rsidR="00B66CCC">
        <w:rPr>
          <w:rFonts w:ascii="Book Antiqua" w:hAnsi="Book Antiqua" w:cs="Arial"/>
        </w:rPr>
        <w:t xml:space="preserve"> </w:t>
      </w:r>
      <w:r w:rsidR="00AB1FDF">
        <w:rPr>
          <w:rFonts w:ascii="Book Antiqua" w:hAnsi="Book Antiqua" w:cs="Arial"/>
        </w:rPr>
        <w:t>the claiman</w:t>
      </w:r>
      <w:r w:rsidR="005759B5">
        <w:rPr>
          <w:rFonts w:ascii="Book Antiqua" w:hAnsi="Book Antiqua" w:cs="Arial"/>
        </w:rPr>
        <w:t xml:space="preserve">t </w:t>
      </w:r>
      <w:r w:rsidR="003D623F">
        <w:rPr>
          <w:rFonts w:ascii="Book Antiqua" w:hAnsi="Book Antiqua" w:cs="Arial"/>
        </w:rPr>
        <w:t>did not comply with the Rules. However, a</w:t>
      </w:r>
      <w:r w:rsidR="005759B5">
        <w:rPr>
          <w:rFonts w:ascii="Book Antiqua" w:hAnsi="Book Antiqua" w:cs="Arial"/>
        </w:rPr>
        <w:t xml:space="preserve">ny error of law in failing first to assess the claim under the Rules would be immaterial if the assessment of the Article 8 case as a matter of law apart from the Rules was satisfactory. </w:t>
      </w:r>
    </w:p>
    <w:p w:rsidR="005759B5" w:rsidRDefault="005759B5" w:rsidP="005759B5">
      <w:pPr>
        <w:tabs>
          <w:tab w:val="left" w:pos="567"/>
        </w:tabs>
        <w:jc w:val="both"/>
        <w:rPr>
          <w:rFonts w:ascii="Book Antiqua" w:hAnsi="Book Antiqua" w:cs="Arial"/>
        </w:rPr>
      </w:pPr>
    </w:p>
    <w:p w:rsidR="005759B5" w:rsidRDefault="00D53B99" w:rsidP="000A4F55">
      <w:pPr>
        <w:numPr>
          <w:ilvl w:val="0"/>
          <w:numId w:val="1"/>
        </w:numPr>
        <w:tabs>
          <w:tab w:val="clear" w:pos="927"/>
          <w:tab w:val="left" w:pos="567"/>
        </w:tabs>
        <w:ind w:left="540" w:hanging="540"/>
        <w:jc w:val="both"/>
        <w:rPr>
          <w:rFonts w:ascii="Book Antiqua" w:hAnsi="Book Antiqua" w:cs="Arial"/>
        </w:rPr>
      </w:pPr>
      <w:r w:rsidRPr="003D623F">
        <w:rPr>
          <w:rFonts w:ascii="Book Antiqua" w:hAnsi="Book Antiqua" w:cs="Arial"/>
          <w:b/>
        </w:rPr>
        <w:t>Ground Two</w:t>
      </w:r>
      <w:r>
        <w:rPr>
          <w:rFonts w:ascii="Book Antiqua" w:hAnsi="Book Antiqua" w:cs="Arial"/>
        </w:rPr>
        <w:t xml:space="preserve">: </w:t>
      </w:r>
      <w:r w:rsidR="005759B5">
        <w:rPr>
          <w:rFonts w:ascii="Book Antiqua" w:hAnsi="Book Antiqua" w:cs="Arial"/>
        </w:rPr>
        <w:t>Judge Keane made no error of law in considering wheth</w:t>
      </w:r>
      <w:r w:rsidR="003D623F">
        <w:rPr>
          <w:rFonts w:ascii="Book Antiqua" w:hAnsi="Book Antiqua" w:cs="Arial"/>
        </w:rPr>
        <w:t xml:space="preserve">er it was reasonable to expect </w:t>
      </w:r>
      <w:r w:rsidR="005759B5">
        <w:rPr>
          <w:rFonts w:ascii="Book Antiqua" w:hAnsi="Book Antiqua" w:cs="Arial"/>
        </w:rPr>
        <w:t xml:space="preserve">Mr Akinola to relocate to </w:t>
      </w:r>
      <w:smartTag w:uri="urn:schemas-microsoft-com:office:smarttags" w:element="PlaceType">
        <w:r w:rsidR="005759B5">
          <w:rPr>
            <w:rFonts w:ascii="Book Antiqua" w:hAnsi="Book Antiqua" w:cs="Arial"/>
          </w:rPr>
          <w:t>Nigeria</w:t>
        </w:r>
      </w:smartTag>
      <w:r w:rsidR="005759B5">
        <w:rPr>
          <w:rFonts w:ascii="Book Antiqua" w:hAnsi="Book Antiqua" w:cs="Arial"/>
        </w:rPr>
        <w:t xml:space="preserve">. The requirement of </w:t>
      </w:r>
      <w:r>
        <w:rPr>
          <w:rFonts w:ascii="Book Antiqua" w:hAnsi="Book Antiqua" w:cs="Arial"/>
        </w:rPr>
        <w:t xml:space="preserve"> EX 1 (b) that “there are insurmountable obstacles to family life with that partner continuing outside the </w:t>
      </w:r>
      <w:smartTag w:uri="urn:schemas-microsoft-com:office:smarttags" w:element="PlaceType">
        <w:r>
          <w:rPr>
            <w:rFonts w:ascii="Book Antiqua" w:hAnsi="Book Antiqua" w:cs="Arial"/>
          </w:rPr>
          <w:t>UK</w:t>
        </w:r>
      </w:smartTag>
      <w:r w:rsidR="00B66CCC">
        <w:rPr>
          <w:rFonts w:ascii="Book Antiqua" w:hAnsi="Book Antiqua" w:cs="Arial"/>
        </w:rPr>
        <w:t>” may be a requirement of the S</w:t>
      </w:r>
      <w:r>
        <w:rPr>
          <w:rFonts w:ascii="Book Antiqua" w:hAnsi="Book Antiqua" w:cs="Arial"/>
        </w:rPr>
        <w:t>ecretary of State’s policy but it is not a requirement for the judge to apply in considering Article 8.</w:t>
      </w:r>
    </w:p>
    <w:p w:rsidR="00D53B99" w:rsidRDefault="00D53B99" w:rsidP="00D53B99">
      <w:pPr>
        <w:tabs>
          <w:tab w:val="left" w:pos="567"/>
        </w:tabs>
        <w:jc w:val="both"/>
        <w:rPr>
          <w:rFonts w:ascii="Book Antiqua" w:hAnsi="Book Antiqua" w:cs="Arial"/>
        </w:rPr>
      </w:pPr>
    </w:p>
    <w:p w:rsidR="00D53B99" w:rsidRDefault="00D53B99" w:rsidP="00533E55">
      <w:pPr>
        <w:numPr>
          <w:ilvl w:val="0"/>
          <w:numId w:val="1"/>
        </w:numPr>
        <w:tabs>
          <w:tab w:val="clear" w:pos="927"/>
          <w:tab w:val="left" w:pos="567"/>
        </w:tabs>
        <w:ind w:left="540" w:hanging="540"/>
        <w:jc w:val="both"/>
        <w:rPr>
          <w:rFonts w:ascii="Book Antiqua" w:hAnsi="Book Antiqua" w:cs="Arial"/>
        </w:rPr>
      </w:pPr>
      <w:r w:rsidRPr="003D623F">
        <w:rPr>
          <w:rFonts w:ascii="Book Antiqua" w:hAnsi="Book Antiqua" w:cs="Arial"/>
          <w:b/>
        </w:rPr>
        <w:t>Ground Three</w:t>
      </w:r>
      <w:r w:rsidR="003D623F">
        <w:rPr>
          <w:rFonts w:ascii="Book Antiqua" w:hAnsi="Book Antiqua" w:cs="Arial"/>
        </w:rPr>
        <w:t xml:space="preserve">:  Judge Keane gave </w:t>
      </w:r>
      <w:r>
        <w:rPr>
          <w:rFonts w:ascii="Book Antiqua" w:hAnsi="Book Antiqua" w:cs="Arial"/>
        </w:rPr>
        <w:t xml:space="preserve">reasons at paragraph 29 of his decision for his conclusion that it would not be reasonable for Mr Akinola to move permanently to </w:t>
      </w:r>
      <w:smartTag w:uri="urn:schemas-microsoft-com:office:smarttags" w:element="PlaceType">
        <w:r>
          <w:rPr>
            <w:rFonts w:ascii="Book Antiqua" w:hAnsi="Book Antiqua" w:cs="Arial"/>
          </w:rPr>
          <w:t>Nigeria</w:t>
        </w:r>
      </w:smartTag>
      <w:r>
        <w:rPr>
          <w:rFonts w:ascii="Book Antiqua" w:hAnsi="Book Antiqua" w:cs="Arial"/>
        </w:rPr>
        <w:t>. He is a British citizen, he has a daughter who is a student here, he has resided here for 23 years and has stable employment and a home here. It is not alleged that his decision is irrational</w:t>
      </w:r>
      <w:r w:rsidR="003D623F">
        <w:rPr>
          <w:rFonts w:ascii="Book Antiqua" w:hAnsi="Book Antiqua" w:cs="Arial"/>
        </w:rPr>
        <w:t xml:space="preserve"> or perverse.  In determining whether there is an error of law</w:t>
      </w:r>
      <w:r w:rsidR="00B66CCC">
        <w:rPr>
          <w:rFonts w:ascii="Book Antiqua" w:hAnsi="Book Antiqua" w:cs="Arial"/>
        </w:rPr>
        <w:t xml:space="preserve">, we </w:t>
      </w:r>
      <w:r>
        <w:rPr>
          <w:rFonts w:ascii="Book Antiqua" w:hAnsi="Book Antiqua" w:cs="Arial"/>
        </w:rPr>
        <w:t>do not need to consider whether we would have reached this conclusion for ourselves</w:t>
      </w:r>
      <w:r w:rsidR="003D623F">
        <w:rPr>
          <w:rFonts w:ascii="Book Antiqua" w:hAnsi="Book Antiqua" w:cs="Arial"/>
        </w:rPr>
        <w:t>.</w:t>
      </w:r>
      <w:r>
        <w:rPr>
          <w:rFonts w:ascii="Book Antiqua" w:hAnsi="Book Antiqua" w:cs="Arial"/>
        </w:rPr>
        <w:t xml:space="preserve"> </w:t>
      </w:r>
      <w:r w:rsidR="00533E55">
        <w:rPr>
          <w:rFonts w:ascii="Book Antiqua" w:hAnsi="Book Antiqua" w:cs="Arial"/>
        </w:rPr>
        <w:t xml:space="preserve">These are matters of assessment for the judge and we find no error of law. </w:t>
      </w:r>
    </w:p>
    <w:p w:rsidR="00533E55" w:rsidRDefault="00533E55" w:rsidP="00533E55">
      <w:pPr>
        <w:tabs>
          <w:tab w:val="left" w:pos="567"/>
        </w:tabs>
        <w:jc w:val="both"/>
        <w:rPr>
          <w:rFonts w:ascii="Book Antiqua" w:hAnsi="Book Antiqua" w:cs="Arial"/>
        </w:rPr>
      </w:pPr>
    </w:p>
    <w:p w:rsidR="00D53B99" w:rsidRDefault="00661F2E" w:rsidP="000A4F55">
      <w:pPr>
        <w:numPr>
          <w:ilvl w:val="0"/>
          <w:numId w:val="1"/>
        </w:numPr>
        <w:tabs>
          <w:tab w:val="clear" w:pos="927"/>
          <w:tab w:val="left" w:pos="567"/>
        </w:tabs>
        <w:ind w:left="540" w:hanging="540"/>
        <w:jc w:val="both"/>
        <w:rPr>
          <w:rFonts w:ascii="Book Antiqua" w:hAnsi="Book Antiqua" w:cs="Arial"/>
        </w:rPr>
      </w:pPr>
      <w:r w:rsidRPr="003D623F">
        <w:rPr>
          <w:rFonts w:ascii="Book Antiqua" w:hAnsi="Book Antiqua" w:cs="Arial"/>
          <w:b/>
        </w:rPr>
        <w:t>Ground Four</w:t>
      </w:r>
      <w:r>
        <w:rPr>
          <w:rFonts w:ascii="Book Antiqua" w:hAnsi="Book Antiqua" w:cs="Arial"/>
        </w:rPr>
        <w:t xml:space="preserve">:  We accept that there was a material error of law made by the judge in </w:t>
      </w:r>
      <w:r w:rsidR="003D623F">
        <w:rPr>
          <w:rFonts w:ascii="Book Antiqua" w:hAnsi="Book Antiqua" w:cs="Arial"/>
        </w:rPr>
        <w:t xml:space="preserve">this aspect of his considering whether </w:t>
      </w:r>
      <w:r w:rsidR="00E34430">
        <w:rPr>
          <w:rFonts w:ascii="Book Antiqua" w:hAnsi="Book Antiqua" w:cs="Arial"/>
        </w:rPr>
        <w:t xml:space="preserve">the decision was in accordance with the law. </w:t>
      </w:r>
      <w:r>
        <w:rPr>
          <w:rFonts w:ascii="Book Antiqua" w:hAnsi="Book Antiqua" w:cs="Arial"/>
        </w:rPr>
        <w:t xml:space="preserve">He nowhere took into consideration the precarious immigration status of the claimant at the time of the marriage and the decision to refuse her admission.  He should have done so. The claimant was in the </w:t>
      </w:r>
      <w:smartTag w:uri="urn:schemas-microsoft-com:office:smarttags" w:element="PlaceType">
        <w:r>
          <w:rPr>
            <w:rFonts w:ascii="Book Antiqua" w:hAnsi="Book Antiqua" w:cs="Arial"/>
          </w:rPr>
          <w:t>United Kingdom</w:t>
        </w:r>
      </w:smartTag>
      <w:r w:rsidR="00E34430">
        <w:rPr>
          <w:rFonts w:ascii="Book Antiqua" w:hAnsi="Book Antiqua" w:cs="Arial"/>
        </w:rPr>
        <w:t xml:space="preserve"> </w:t>
      </w:r>
      <w:r>
        <w:rPr>
          <w:rFonts w:ascii="Book Antiqua" w:hAnsi="Book Antiqua" w:cs="Arial"/>
        </w:rPr>
        <w:t xml:space="preserve">as a visitor and had no claim to remain for any other purposes. Her visa was granted on the basis that she had satisfied the ECO that she would leave the </w:t>
      </w:r>
      <w:smartTag w:uri="urn:schemas-microsoft-com:office:smarttags" w:element="PlaceType">
        <w:r>
          <w:rPr>
            <w:rFonts w:ascii="Book Antiqua" w:hAnsi="Book Antiqua" w:cs="Arial"/>
          </w:rPr>
          <w:t>UK</w:t>
        </w:r>
      </w:smartTag>
      <w:r w:rsidR="00533E55">
        <w:rPr>
          <w:rFonts w:ascii="Book Antiqua" w:hAnsi="Book Antiqua" w:cs="Arial"/>
        </w:rPr>
        <w:t xml:space="preserve"> at the end of each visit. </w:t>
      </w:r>
      <w:r>
        <w:rPr>
          <w:rFonts w:ascii="Book Antiqua" w:hAnsi="Book Antiqua" w:cs="Arial"/>
        </w:rPr>
        <w:t>From 2008, when her relationship with Mr Akinola deepened she was in breach of the terms of leave to enter and remained without authority, moreover she used false documents</w:t>
      </w:r>
      <w:r w:rsidR="0081312A">
        <w:rPr>
          <w:rFonts w:ascii="Book Antiqua" w:hAnsi="Book Antiqua" w:cs="Arial"/>
        </w:rPr>
        <w:t>, including a forged settlement visa to</w:t>
      </w:r>
      <w:r>
        <w:rPr>
          <w:rFonts w:ascii="Book Antiqua" w:hAnsi="Book Antiqua" w:cs="Arial"/>
        </w:rPr>
        <w:t xml:space="preserve"> enable her to work</w:t>
      </w:r>
      <w:r w:rsidR="0081312A">
        <w:rPr>
          <w:rFonts w:ascii="Book Antiqua" w:hAnsi="Book Antiqua" w:cs="Arial"/>
        </w:rPr>
        <w:t xml:space="preserve">. It is unclear why she needed to work if she was a dependant of Mr Akinola’s before her return to </w:t>
      </w:r>
      <w:smartTag w:uri="urn:schemas-microsoft-com:office:smarttags" w:element="PlaceType">
        <w:r w:rsidR="0081312A">
          <w:rPr>
            <w:rFonts w:ascii="Book Antiqua" w:hAnsi="Book Antiqua" w:cs="Arial"/>
          </w:rPr>
          <w:t>Nigeria</w:t>
        </w:r>
      </w:smartTag>
      <w:r w:rsidR="0081312A">
        <w:rPr>
          <w:rFonts w:ascii="Book Antiqua" w:hAnsi="Book Antiqua" w:cs="Arial"/>
        </w:rPr>
        <w:t>.</w:t>
      </w:r>
    </w:p>
    <w:p w:rsidR="008758D0" w:rsidRDefault="008758D0" w:rsidP="008758D0">
      <w:pPr>
        <w:tabs>
          <w:tab w:val="left" w:pos="567"/>
        </w:tabs>
        <w:jc w:val="both"/>
        <w:rPr>
          <w:rFonts w:ascii="Book Antiqua" w:hAnsi="Book Antiqua" w:cs="Arial"/>
        </w:rPr>
      </w:pPr>
    </w:p>
    <w:p w:rsidR="008758D0" w:rsidRDefault="008758D0"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In </w:t>
      </w:r>
      <w:r w:rsidRPr="0081312A">
        <w:rPr>
          <w:rFonts w:ascii="Book Antiqua" w:hAnsi="Book Antiqua" w:cs="Arial"/>
          <w:u w:val="single"/>
        </w:rPr>
        <w:t>Nunez v Norway</w:t>
      </w:r>
      <w:r>
        <w:rPr>
          <w:rFonts w:ascii="Book Antiqua" w:hAnsi="Book Antiqua" w:cs="Arial"/>
        </w:rPr>
        <w:t xml:space="preserve"> June 2011 the Fourth S</w:t>
      </w:r>
      <w:r w:rsidR="0081312A">
        <w:rPr>
          <w:rFonts w:ascii="Book Antiqua" w:hAnsi="Book Antiqua" w:cs="Arial"/>
        </w:rPr>
        <w:t>ection of the European C</w:t>
      </w:r>
      <w:r>
        <w:rPr>
          <w:rFonts w:ascii="Book Antiqua" w:hAnsi="Book Antiqua" w:cs="Arial"/>
        </w:rPr>
        <w:t>ourt of Human Rights stated the principles for assessment  where a person had entered the country irregularly and sought to remain on the grounds of a family relationship and concluded at [70] :-</w:t>
      </w:r>
    </w:p>
    <w:p w:rsidR="008758D0" w:rsidRDefault="008758D0" w:rsidP="008758D0">
      <w:pPr>
        <w:tabs>
          <w:tab w:val="left" w:pos="567"/>
        </w:tabs>
        <w:jc w:val="both"/>
        <w:rPr>
          <w:rFonts w:ascii="Book Antiqua" w:hAnsi="Book Antiqua" w:cs="Arial"/>
        </w:rPr>
      </w:pPr>
    </w:p>
    <w:p w:rsidR="008758D0" w:rsidRPr="00533E55" w:rsidRDefault="008758D0" w:rsidP="008758D0">
      <w:pPr>
        <w:tabs>
          <w:tab w:val="left" w:pos="567"/>
        </w:tabs>
        <w:ind w:left="1134"/>
        <w:jc w:val="both"/>
        <w:rPr>
          <w:rFonts w:ascii="Book Antiqua" w:hAnsi="Book Antiqua" w:cs="Arial"/>
          <w:sz w:val="22"/>
          <w:szCs w:val="22"/>
        </w:rPr>
      </w:pPr>
      <w:bookmarkStart w:id="5" w:name="para70"/>
      <w:r>
        <w:t>“</w:t>
      </w:r>
      <w:r w:rsidRPr="00533E55">
        <w:rPr>
          <w:rFonts w:ascii="Book Antiqua" w:hAnsi="Book Antiqua"/>
          <w:sz w:val="22"/>
          <w:szCs w:val="22"/>
        </w:rPr>
        <w:t>The Court further</w:t>
      </w:r>
      <w:r w:rsidRPr="00533E55">
        <w:rPr>
          <w:rFonts w:ascii="Book Antiqua" w:hAnsi="Book Antiqua"/>
          <w:b/>
          <w:bCs/>
          <w:sz w:val="22"/>
          <w:szCs w:val="22"/>
        </w:rPr>
        <w:t xml:space="preserve"> </w:t>
      </w:r>
      <w:r w:rsidRPr="00533E55">
        <w:rPr>
          <w:rFonts w:ascii="Book Antiqua" w:hAnsi="Book Antiqua"/>
          <w:sz w:val="22"/>
          <w:szCs w:val="22"/>
        </w:rPr>
        <w:t xml:space="preserve">reiterates that Article 8 does not entail a general obligation for a State to respect immigrants’ choice of the country of their residence and to authorise family reunion in its territory. Nevertheless, in a case which concerns family life as well as immigration, the extent of a State’s obligations to admit to its territory relatives of persons residing there will vary according to the particular circumstances of the persons involved and the general interest (see </w:t>
      </w:r>
      <w:r w:rsidRPr="00533E55">
        <w:rPr>
          <w:rFonts w:ascii="Book Antiqua" w:hAnsi="Book Antiqua"/>
          <w:i/>
          <w:iCs/>
          <w:sz w:val="22"/>
          <w:szCs w:val="22"/>
        </w:rPr>
        <w:t>Gül</w:t>
      </w:r>
      <w:r w:rsidRPr="00533E55">
        <w:rPr>
          <w:rFonts w:ascii="Book Antiqua" w:hAnsi="Book Antiqua"/>
          <w:sz w:val="22"/>
          <w:szCs w:val="22"/>
        </w:rPr>
        <w:t xml:space="preserve">, cited above, § 38; and </w:t>
      </w:r>
      <w:r w:rsidRPr="00533E55">
        <w:rPr>
          <w:rFonts w:ascii="Book Antiqua" w:hAnsi="Book Antiqua"/>
          <w:i/>
          <w:iCs/>
          <w:sz w:val="22"/>
          <w:szCs w:val="22"/>
        </w:rPr>
        <w:t>Rodrigues da Silva and Hoogkamer</w:t>
      </w:r>
      <w:r w:rsidRPr="00533E55">
        <w:rPr>
          <w:rFonts w:ascii="Book Antiqua" w:hAnsi="Book Antiqua"/>
          <w:sz w:val="22"/>
          <w:szCs w:val="22"/>
        </w:rPr>
        <w:t>, cited above, § 39). Factors to be taken into account in this context are the extent to which family life is effectively ruptured, the extent of the ties in the Contracting State, whether there are insurmountable obstacles in the way of the family living in the country of origin of one or more of them and whether there are factors of immigration control (for example, a history of breaches of immigration law) or considerations of public order weighing in favour of exclusion (see</w:t>
      </w:r>
      <w:r w:rsidRPr="00533E55">
        <w:rPr>
          <w:rFonts w:ascii="Book Antiqua" w:hAnsi="Book Antiqua"/>
          <w:i/>
          <w:iCs/>
          <w:sz w:val="22"/>
          <w:szCs w:val="22"/>
        </w:rPr>
        <w:t xml:space="preserve"> Rodrigues da Silva and Hoogkamer</w:t>
      </w:r>
      <w:r w:rsidRPr="00533E55">
        <w:rPr>
          <w:rFonts w:ascii="Book Antiqua" w:hAnsi="Book Antiqua"/>
          <w:sz w:val="22"/>
          <w:szCs w:val="22"/>
        </w:rPr>
        <w:t>, cited above, ibid.;</w:t>
      </w:r>
      <w:r w:rsidRPr="00533E55">
        <w:rPr>
          <w:rFonts w:ascii="Book Antiqua" w:hAnsi="Book Antiqua"/>
          <w:i/>
          <w:iCs/>
          <w:sz w:val="22"/>
          <w:szCs w:val="22"/>
        </w:rPr>
        <w:t xml:space="preserve"> Ajayi and Others v. the United Kingdom</w:t>
      </w:r>
      <w:r w:rsidRPr="00533E55">
        <w:rPr>
          <w:rFonts w:ascii="Book Antiqua" w:hAnsi="Book Antiqua"/>
          <w:sz w:val="22"/>
          <w:szCs w:val="22"/>
        </w:rPr>
        <w:t xml:space="preserve"> (dec.), no. 27663/95, 22 June 1999; </w:t>
      </w:r>
      <w:r w:rsidRPr="00533E55">
        <w:rPr>
          <w:rFonts w:ascii="Book Antiqua" w:hAnsi="Book Antiqua"/>
          <w:i/>
          <w:iCs/>
          <w:sz w:val="22"/>
          <w:szCs w:val="22"/>
        </w:rPr>
        <w:t>Solomon v. the Netherlands</w:t>
      </w:r>
      <w:r w:rsidRPr="00533E55">
        <w:rPr>
          <w:rFonts w:ascii="Book Antiqua" w:hAnsi="Book Antiqua"/>
          <w:sz w:val="22"/>
          <w:szCs w:val="22"/>
        </w:rPr>
        <w:t xml:space="preserve"> (dec.), no. 44328/98, 5 September 2000). Another important consideration is whether family life was created at a time when the persons involved were aware that the immigration status of one of them was such that the persistence of that family life within the host State would from the outset be precarious (see </w:t>
      </w:r>
      <w:r w:rsidRPr="00533E55">
        <w:rPr>
          <w:rFonts w:ascii="Book Antiqua" w:hAnsi="Book Antiqua"/>
          <w:i/>
          <w:iCs/>
          <w:sz w:val="22"/>
          <w:szCs w:val="22"/>
        </w:rPr>
        <w:t>Jerry Olajide Sarumi v. the United Kingdom</w:t>
      </w:r>
      <w:r w:rsidRPr="00533E55">
        <w:rPr>
          <w:rFonts w:ascii="Book Antiqua" w:hAnsi="Book Antiqua"/>
          <w:sz w:val="22"/>
          <w:szCs w:val="22"/>
        </w:rPr>
        <w:t xml:space="preserve"> (dec.), no. 43279/98, 26 January 1999; </w:t>
      </w:r>
      <w:r w:rsidRPr="00533E55">
        <w:rPr>
          <w:rFonts w:ascii="Book Antiqua" w:hAnsi="Book Antiqua"/>
          <w:i/>
          <w:iCs/>
          <w:sz w:val="22"/>
          <w:szCs w:val="22"/>
        </w:rPr>
        <w:t>Andrey Sheabashov c. la Lettonie</w:t>
      </w:r>
      <w:r w:rsidRPr="00533E55">
        <w:rPr>
          <w:rFonts w:ascii="Book Antiqua" w:hAnsi="Book Antiqua"/>
          <w:sz w:val="22"/>
          <w:szCs w:val="22"/>
        </w:rPr>
        <w:t xml:space="preserve"> (dec.), no. 50065/99, 22 May 1999). Where this is the case the removal of the non-national family member would</w:t>
      </w:r>
      <w:r w:rsidRPr="00533E55">
        <w:rPr>
          <w:rFonts w:ascii="Book Antiqua" w:hAnsi="Book Antiqua"/>
          <w:b/>
          <w:bCs/>
          <w:sz w:val="22"/>
          <w:szCs w:val="22"/>
        </w:rPr>
        <w:t xml:space="preserve"> </w:t>
      </w:r>
      <w:r w:rsidRPr="00533E55">
        <w:rPr>
          <w:rFonts w:ascii="Book Antiqua" w:hAnsi="Book Antiqua"/>
          <w:sz w:val="22"/>
          <w:szCs w:val="22"/>
        </w:rPr>
        <w:t>be incompatible with Article 8 only in exceptional circumstances (see</w:t>
      </w:r>
      <w:r w:rsidRPr="00533E55">
        <w:rPr>
          <w:rFonts w:ascii="Book Antiqua" w:hAnsi="Book Antiqua"/>
          <w:i/>
          <w:iCs/>
          <w:sz w:val="22"/>
          <w:szCs w:val="22"/>
        </w:rPr>
        <w:t xml:space="preserve"> Abdulaziz, Cabales and Balkandali, </w:t>
      </w:r>
      <w:r w:rsidRPr="00533E55">
        <w:rPr>
          <w:rFonts w:ascii="Book Antiqua" w:hAnsi="Book Antiqua"/>
          <w:sz w:val="22"/>
          <w:szCs w:val="22"/>
        </w:rPr>
        <w:t xml:space="preserve">cited above, § 68; </w:t>
      </w:r>
      <w:r w:rsidRPr="00533E55">
        <w:rPr>
          <w:rFonts w:ascii="Book Antiqua" w:hAnsi="Book Antiqua"/>
          <w:i/>
          <w:iCs/>
          <w:sz w:val="22"/>
          <w:szCs w:val="22"/>
        </w:rPr>
        <w:t xml:space="preserve">Mitchell v. the United Kingdom </w:t>
      </w:r>
      <w:r w:rsidRPr="00533E55">
        <w:rPr>
          <w:rFonts w:ascii="Book Antiqua" w:hAnsi="Book Antiqua"/>
          <w:sz w:val="22"/>
          <w:szCs w:val="22"/>
        </w:rPr>
        <w:t xml:space="preserve">(dec.), no. 40447/98, 24 November 1998, and </w:t>
      </w:r>
      <w:r w:rsidRPr="00533E55">
        <w:rPr>
          <w:rFonts w:ascii="Book Antiqua" w:hAnsi="Book Antiqua"/>
          <w:i/>
          <w:iCs/>
          <w:sz w:val="22"/>
          <w:szCs w:val="22"/>
        </w:rPr>
        <w:t>Ajayi and Others</w:t>
      </w:r>
      <w:r w:rsidRPr="00533E55">
        <w:rPr>
          <w:rFonts w:ascii="Book Antiqua" w:hAnsi="Book Antiqua"/>
          <w:sz w:val="22"/>
          <w:szCs w:val="22"/>
        </w:rPr>
        <w:t>, cited above;</w:t>
      </w:r>
      <w:r w:rsidRPr="00533E55">
        <w:rPr>
          <w:rFonts w:ascii="Book Antiqua" w:hAnsi="Book Antiqua"/>
          <w:i/>
          <w:iCs/>
          <w:sz w:val="22"/>
          <w:szCs w:val="22"/>
        </w:rPr>
        <w:t xml:space="preserve"> Rodrigues da Silva and Hoogkamer</w:t>
      </w:r>
      <w:r w:rsidRPr="00533E55">
        <w:rPr>
          <w:rFonts w:ascii="Book Antiqua" w:hAnsi="Book Antiqua"/>
          <w:sz w:val="22"/>
          <w:szCs w:val="22"/>
        </w:rPr>
        <w:t>, cited above, ibid.).</w:t>
      </w:r>
      <w:bookmarkEnd w:id="5"/>
    </w:p>
    <w:p w:rsidR="00661F2E" w:rsidRDefault="00661F2E" w:rsidP="00661F2E">
      <w:pPr>
        <w:tabs>
          <w:tab w:val="left" w:pos="567"/>
        </w:tabs>
        <w:jc w:val="both"/>
        <w:rPr>
          <w:rFonts w:ascii="Book Antiqua" w:hAnsi="Book Antiqua" w:cs="Arial"/>
        </w:rPr>
      </w:pPr>
    </w:p>
    <w:p w:rsidR="00B66CCC" w:rsidRDefault="008758D0"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In this c</w:t>
      </w:r>
      <w:r w:rsidR="0081312A">
        <w:rPr>
          <w:rFonts w:ascii="Book Antiqua" w:hAnsi="Book Antiqua" w:cs="Arial"/>
        </w:rPr>
        <w:t xml:space="preserve">ase the claimant and her husband must have </w:t>
      </w:r>
      <w:r>
        <w:rPr>
          <w:rFonts w:ascii="Book Antiqua" w:hAnsi="Book Antiqua" w:cs="Arial"/>
        </w:rPr>
        <w:t xml:space="preserve">known she was developing </w:t>
      </w:r>
      <w:r w:rsidR="0081312A">
        <w:rPr>
          <w:rFonts w:ascii="Book Antiqua" w:hAnsi="Book Antiqua" w:cs="Arial"/>
        </w:rPr>
        <w:t xml:space="preserve">family life when </w:t>
      </w:r>
      <w:r>
        <w:rPr>
          <w:rFonts w:ascii="Book Antiqua" w:hAnsi="Book Antiqua" w:cs="Arial"/>
        </w:rPr>
        <w:t xml:space="preserve">her immigration status was precarious, indeed when she had overstayed her </w:t>
      </w:r>
      <w:r w:rsidR="00B66CCC">
        <w:rPr>
          <w:rFonts w:ascii="Book Antiqua" w:hAnsi="Book Antiqua" w:cs="Arial"/>
        </w:rPr>
        <w:t>l</w:t>
      </w:r>
      <w:r>
        <w:rPr>
          <w:rFonts w:ascii="Book Antiqua" w:hAnsi="Book Antiqua" w:cs="Arial"/>
        </w:rPr>
        <w:t xml:space="preserve">eave to remain.  In addition to breaching immigration control she had employed false documents to obtain unlawful employment. She was prosecuted for this conduct. The claimant did maintain </w:t>
      </w:r>
      <w:r w:rsidR="0081312A">
        <w:rPr>
          <w:rFonts w:ascii="Book Antiqua" w:hAnsi="Book Antiqua" w:cs="Arial"/>
        </w:rPr>
        <w:t>strong ties to</w:t>
      </w:r>
      <w:r>
        <w:rPr>
          <w:rFonts w:ascii="Book Antiqua" w:hAnsi="Book Antiqua" w:cs="Arial"/>
        </w:rPr>
        <w:t xml:space="preserve"> </w:t>
      </w:r>
      <w:smartTag w:uri="urn:schemas-microsoft-com:office:smarttags" w:element="PlaceType">
        <w:r>
          <w:rPr>
            <w:rFonts w:ascii="Book Antiqua" w:hAnsi="Book Antiqua" w:cs="Arial"/>
          </w:rPr>
          <w:t>Nigeria</w:t>
        </w:r>
      </w:smartTag>
      <w:r>
        <w:rPr>
          <w:rFonts w:ascii="Book Antiqua" w:hAnsi="Book Antiqua" w:cs="Arial"/>
        </w:rPr>
        <w:t xml:space="preserve"> albeit that her previous marriage had broken down through her husband’s</w:t>
      </w:r>
      <w:r w:rsidR="0081312A">
        <w:rPr>
          <w:rFonts w:ascii="Book Antiqua" w:hAnsi="Book Antiqua" w:cs="Arial"/>
        </w:rPr>
        <w:t xml:space="preserve"> violent conduct. She retur</w:t>
      </w:r>
      <w:r>
        <w:rPr>
          <w:rFonts w:ascii="Book Antiqua" w:hAnsi="Book Antiqua" w:cs="Arial"/>
        </w:rPr>
        <w:t xml:space="preserve">ned regularly </w:t>
      </w:r>
      <w:r w:rsidR="0081312A">
        <w:rPr>
          <w:rFonts w:ascii="Book Antiqua" w:hAnsi="Book Antiqua" w:cs="Arial"/>
        </w:rPr>
        <w:t xml:space="preserve">to </w:t>
      </w:r>
      <w:smartTag w:uri="urn:schemas-microsoft-com:office:smarttags" w:element="PlaceType">
        <w:r w:rsidR="0081312A">
          <w:rPr>
            <w:rFonts w:ascii="Book Antiqua" w:hAnsi="Book Antiqua" w:cs="Arial"/>
          </w:rPr>
          <w:t>Niger</w:t>
        </w:r>
        <w:r>
          <w:rPr>
            <w:rFonts w:ascii="Book Antiqua" w:hAnsi="Book Antiqua" w:cs="Arial"/>
          </w:rPr>
          <w:t>i</w:t>
        </w:r>
        <w:r w:rsidR="0081312A">
          <w:rPr>
            <w:rFonts w:ascii="Book Antiqua" w:hAnsi="Book Antiqua" w:cs="Arial"/>
          </w:rPr>
          <w:t>a</w:t>
        </w:r>
      </w:smartTag>
      <w:r>
        <w:rPr>
          <w:rFonts w:ascii="Book Antiqua" w:hAnsi="Book Antiqua" w:cs="Arial"/>
        </w:rPr>
        <w:t xml:space="preserve"> and had married there. </w:t>
      </w:r>
      <w:r w:rsidR="0081312A">
        <w:rPr>
          <w:rFonts w:ascii="Book Antiqua" w:hAnsi="Book Antiqua" w:cs="Arial"/>
        </w:rPr>
        <w:t xml:space="preserve"> The decision under appeal was taken after her application for entry clearance as a spouse had been rejected and when she </w:t>
      </w:r>
      <w:r w:rsidR="00B66CCC">
        <w:rPr>
          <w:rFonts w:ascii="Book Antiqua" w:hAnsi="Book Antiqua" w:cs="Arial"/>
        </w:rPr>
        <w:t xml:space="preserve">was </w:t>
      </w:r>
      <w:r w:rsidR="0081312A">
        <w:rPr>
          <w:rFonts w:ascii="Book Antiqua" w:hAnsi="Book Antiqua" w:cs="Arial"/>
        </w:rPr>
        <w:t xml:space="preserve">seeking to enter the </w:t>
      </w:r>
      <w:smartTag w:uri="urn:schemas-microsoft-com:office:smarttags" w:element="PlaceType">
        <w:r w:rsidR="0081312A">
          <w:rPr>
            <w:rFonts w:ascii="Book Antiqua" w:hAnsi="Book Antiqua" w:cs="Arial"/>
          </w:rPr>
          <w:t>UK</w:t>
        </w:r>
      </w:smartTag>
      <w:r w:rsidR="0081312A">
        <w:rPr>
          <w:rFonts w:ascii="Book Antiqua" w:hAnsi="Book Antiqua" w:cs="Arial"/>
        </w:rPr>
        <w:t xml:space="preserve"> from </w:t>
      </w:r>
      <w:smartTag w:uri="urn:schemas-microsoft-com:office:smarttags" w:element="PlaceType">
        <w:r w:rsidR="0081312A">
          <w:rPr>
            <w:rFonts w:ascii="Book Antiqua" w:hAnsi="Book Antiqua" w:cs="Arial"/>
          </w:rPr>
          <w:t>Nigeria</w:t>
        </w:r>
      </w:smartTag>
      <w:r w:rsidR="0081312A">
        <w:rPr>
          <w:rFonts w:ascii="Book Antiqua" w:hAnsi="Book Antiqua" w:cs="Arial"/>
        </w:rPr>
        <w:t xml:space="preserve">. As in the case of </w:t>
      </w:r>
      <w:r w:rsidR="0081312A" w:rsidRPr="0081312A">
        <w:rPr>
          <w:rFonts w:ascii="Book Antiqua" w:hAnsi="Book Antiqua" w:cs="Arial"/>
          <w:u w:val="single"/>
        </w:rPr>
        <w:t>Nunez</w:t>
      </w:r>
      <w:r w:rsidR="0081312A">
        <w:rPr>
          <w:rFonts w:ascii="Book Antiqua" w:hAnsi="Book Antiqua" w:cs="Arial"/>
        </w:rPr>
        <w:t xml:space="preserve">, this combination of factors meant that weighty reasons existed to refuse her entry and </w:t>
      </w:r>
      <w:r w:rsidR="007F7FE8">
        <w:rPr>
          <w:rFonts w:ascii="Book Antiqua" w:hAnsi="Book Antiqua" w:cs="Arial"/>
        </w:rPr>
        <w:t xml:space="preserve">justify her removal </w:t>
      </w:r>
      <w:r w:rsidR="0081312A">
        <w:rPr>
          <w:rFonts w:ascii="Book Antiqua" w:hAnsi="Book Antiqua" w:cs="Arial"/>
        </w:rPr>
        <w:t xml:space="preserve">to </w:t>
      </w:r>
      <w:smartTag w:uri="urn:schemas-microsoft-com:office:smarttags" w:element="PlaceType">
        <w:r w:rsidR="0081312A">
          <w:rPr>
            <w:rFonts w:ascii="Book Antiqua" w:hAnsi="Book Antiqua" w:cs="Arial"/>
          </w:rPr>
          <w:t>Nigeria</w:t>
        </w:r>
      </w:smartTag>
      <w:r w:rsidR="0081312A">
        <w:rPr>
          <w:rFonts w:ascii="Book Antiqua" w:hAnsi="Book Antiqua" w:cs="Arial"/>
        </w:rPr>
        <w:t>.</w:t>
      </w:r>
      <w:r w:rsidR="00E34430">
        <w:rPr>
          <w:rFonts w:ascii="Book Antiqua" w:hAnsi="Book Antiqua" w:cs="Arial"/>
        </w:rPr>
        <w:t xml:space="preserve"> </w:t>
      </w:r>
    </w:p>
    <w:p w:rsidR="00B66CCC" w:rsidRDefault="00B66CCC" w:rsidP="00B66CCC">
      <w:pPr>
        <w:tabs>
          <w:tab w:val="left" w:pos="567"/>
        </w:tabs>
        <w:jc w:val="both"/>
        <w:rPr>
          <w:rFonts w:ascii="Book Antiqua" w:hAnsi="Book Antiqua" w:cs="Arial"/>
        </w:rPr>
      </w:pPr>
    </w:p>
    <w:p w:rsidR="008758D0" w:rsidRDefault="00E34430"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For reasons we have already explained this is not to adopt a general test of exceptional circumstances,  but to identify the need for weighty factors in favour of the claimant in this class of case.  The Upper Tribunal has consistently had regard to the circumstances in which the family life was contracted and the degree of deception or breach of immigration control. All judges making such decisions must do so.</w:t>
      </w:r>
    </w:p>
    <w:p w:rsidR="00071DA6" w:rsidRDefault="00071DA6" w:rsidP="00071DA6">
      <w:pPr>
        <w:tabs>
          <w:tab w:val="left" w:pos="567"/>
        </w:tabs>
        <w:jc w:val="both"/>
        <w:rPr>
          <w:rFonts w:ascii="Book Antiqua" w:hAnsi="Book Antiqua" w:cs="Arial"/>
        </w:rPr>
      </w:pPr>
    </w:p>
    <w:p w:rsidR="0081312A" w:rsidRDefault="00E34430"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T</w:t>
      </w:r>
      <w:r w:rsidR="00071DA6">
        <w:rPr>
          <w:rFonts w:ascii="Book Antiqua" w:hAnsi="Book Antiqua" w:cs="Arial"/>
        </w:rPr>
        <w:t xml:space="preserve">he reasons relied on by the claimant for </w:t>
      </w:r>
      <w:r>
        <w:rPr>
          <w:rFonts w:ascii="Book Antiqua" w:hAnsi="Book Antiqua" w:cs="Arial"/>
        </w:rPr>
        <w:t xml:space="preserve">why a human rights analysis required her admission were not strong. By contrast with the case of </w:t>
      </w:r>
      <w:r w:rsidRPr="00E34430">
        <w:rPr>
          <w:rFonts w:ascii="Book Antiqua" w:hAnsi="Book Antiqua" w:cs="Arial"/>
          <w:u w:val="single"/>
        </w:rPr>
        <w:t>Nunez</w:t>
      </w:r>
      <w:r>
        <w:rPr>
          <w:rFonts w:ascii="Book Antiqua" w:hAnsi="Book Antiqua" w:cs="Arial"/>
        </w:rPr>
        <w:t xml:space="preserve"> t</w:t>
      </w:r>
      <w:r w:rsidR="00071DA6">
        <w:rPr>
          <w:rFonts w:ascii="Book Antiqua" w:hAnsi="Book Antiqua" w:cs="Arial"/>
        </w:rPr>
        <w:t xml:space="preserve">here were no interests </w:t>
      </w:r>
      <w:r>
        <w:rPr>
          <w:rFonts w:ascii="Book Antiqua" w:hAnsi="Book Antiqua" w:cs="Arial"/>
        </w:rPr>
        <w:t xml:space="preserve">of minor children to consider. </w:t>
      </w:r>
      <w:r w:rsidR="00071DA6">
        <w:rPr>
          <w:rFonts w:ascii="Book Antiqua" w:hAnsi="Book Antiqua" w:cs="Arial"/>
        </w:rPr>
        <w:t xml:space="preserve">The claimant and her husband had not founded a family of their own, and there was no evidence of any ties between the claimant and Mr Akinola’s daughter by a previous marriage. In any event that daughter was now an adult and living in a separate household. The claimant had returned to </w:t>
      </w:r>
      <w:smartTag w:uri="urn:schemas-microsoft-com:office:smarttags" w:element="PlaceType">
        <w:r w:rsidR="00071DA6">
          <w:rPr>
            <w:rFonts w:ascii="Book Antiqua" w:hAnsi="Book Antiqua" w:cs="Arial"/>
          </w:rPr>
          <w:t>Nigeria</w:t>
        </w:r>
      </w:smartTag>
      <w:r w:rsidR="00071DA6">
        <w:rPr>
          <w:rFonts w:ascii="Book Antiqua" w:hAnsi="Book Antiqua" w:cs="Arial"/>
        </w:rPr>
        <w:t xml:space="preserve"> to get married, and was seeking admission in a false capacity as a visitor when her intentions were to remain with her husband</w:t>
      </w:r>
      <w:r w:rsidR="007F7FE8">
        <w:rPr>
          <w:rFonts w:ascii="Book Antiqua" w:hAnsi="Book Antiqua" w:cs="Arial"/>
        </w:rPr>
        <w:t xml:space="preserve">.   HC 194 Appendix FM makes it necessary </w:t>
      </w:r>
      <w:r w:rsidR="00071DA6">
        <w:rPr>
          <w:rFonts w:ascii="Book Antiqua" w:hAnsi="Book Antiqua" w:cs="Arial"/>
        </w:rPr>
        <w:t xml:space="preserve">that an applicant for leave on Article 8 grounds must not be in the </w:t>
      </w:r>
      <w:smartTag w:uri="urn:schemas-microsoft-com:office:smarttags" w:element="PlaceType">
        <w:r w:rsidR="00071DA6">
          <w:rPr>
            <w:rFonts w:ascii="Book Antiqua" w:hAnsi="Book Antiqua" w:cs="Arial"/>
          </w:rPr>
          <w:t>UK</w:t>
        </w:r>
      </w:smartTag>
      <w:r w:rsidR="00071DA6">
        <w:rPr>
          <w:rFonts w:ascii="Book Antiqua" w:hAnsi="Book Antiqua" w:cs="Arial"/>
        </w:rPr>
        <w:t xml:space="preserve"> as a visitor, with leave for less than six months (save as a fiancé (e)) </w:t>
      </w:r>
      <w:r w:rsidR="007F7FE8">
        <w:rPr>
          <w:rFonts w:ascii="Book Antiqua" w:hAnsi="Book Antiqua" w:cs="Arial"/>
        </w:rPr>
        <w:t>or with temporary admission. Whilst we do not accept that these requirements are fatal to an Article 8 claim, they serve to emphasis</w:t>
      </w:r>
      <w:r w:rsidR="00B66CCC">
        <w:rPr>
          <w:rFonts w:ascii="Book Antiqua" w:hAnsi="Book Antiqua" w:cs="Arial"/>
        </w:rPr>
        <w:t>e</w:t>
      </w:r>
      <w:r w:rsidR="007F7FE8">
        <w:rPr>
          <w:rFonts w:ascii="Book Antiqua" w:hAnsi="Book Antiqua" w:cs="Arial"/>
        </w:rPr>
        <w:t xml:space="preserve"> how precarious this claimant’s connection with the </w:t>
      </w:r>
      <w:smartTag w:uri="urn:schemas-microsoft-com:office:smarttags" w:element="PlaceType">
        <w:r w:rsidR="007F7FE8">
          <w:rPr>
            <w:rFonts w:ascii="Book Antiqua" w:hAnsi="Book Antiqua" w:cs="Arial"/>
          </w:rPr>
          <w:t>UK</w:t>
        </w:r>
      </w:smartTag>
      <w:r w:rsidR="007F7FE8">
        <w:rPr>
          <w:rFonts w:ascii="Book Antiqua" w:hAnsi="Book Antiqua" w:cs="Arial"/>
        </w:rPr>
        <w:t xml:space="preserve"> was and how recent </w:t>
      </w:r>
      <w:r w:rsidR="00B66CCC">
        <w:rPr>
          <w:rFonts w:ascii="Book Antiqua" w:hAnsi="Book Antiqua" w:cs="Arial"/>
        </w:rPr>
        <w:t xml:space="preserve">were her continuing </w:t>
      </w:r>
      <w:r w:rsidR="007F7FE8">
        <w:rPr>
          <w:rFonts w:ascii="Book Antiqua" w:hAnsi="Book Antiqua" w:cs="Arial"/>
        </w:rPr>
        <w:t>connection</w:t>
      </w:r>
      <w:r w:rsidR="00B66CCC">
        <w:rPr>
          <w:rFonts w:ascii="Book Antiqua" w:hAnsi="Book Antiqua" w:cs="Arial"/>
        </w:rPr>
        <w:t>s</w:t>
      </w:r>
      <w:r w:rsidR="007F7FE8">
        <w:rPr>
          <w:rFonts w:ascii="Book Antiqua" w:hAnsi="Book Antiqua" w:cs="Arial"/>
        </w:rPr>
        <w:t xml:space="preserve"> with </w:t>
      </w:r>
      <w:smartTag w:uri="urn:schemas-microsoft-com:office:smarttags" w:element="PlaceType">
        <w:r w:rsidR="007F7FE8">
          <w:rPr>
            <w:rFonts w:ascii="Book Antiqua" w:hAnsi="Book Antiqua" w:cs="Arial"/>
          </w:rPr>
          <w:t>Nigeria</w:t>
        </w:r>
      </w:smartTag>
      <w:r w:rsidR="007F7FE8">
        <w:rPr>
          <w:rFonts w:ascii="Book Antiqua" w:hAnsi="Book Antiqua" w:cs="Arial"/>
        </w:rPr>
        <w:t xml:space="preserve">. </w:t>
      </w:r>
    </w:p>
    <w:p w:rsidR="007F7FE8" w:rsidRDefault="007F7FE8" w:rsidP="007F7FE8">
      <w:pPr>
        <w:tabs>
          <w:tab w:val="left" w:pos="567"/>
        </w:tabs>
        <w:jc w:val="both"/>
        <w:rPr>
          <w:rFonts w:ascii="Book Antiqua" w:hAnsi="Book Antiqua" w:cs="Arial"/>
        </w:rPr>
      </w:pPr>
    </w:p>
    <w:p w:rsidR="007F7FE8" w:rsidRDefault="007F7FE8"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For thes</w:t>
      </w:r>
      <w:r w:rsidR="000610C3">
        <w:rPr>
          <w:rFonts w:ascii="Book Antiqua" w:hAnsi="Book Antiqua" w:cs="Arial"/>
        </w:rPr>
        <w:t>e reasons we are satisfied that</w:t>
      </w:r>
      <w:r>
        <w:rPr>
          <w:rFonts w:ascii="Book Antiqua" w:hAnsi="Book Antiqua" w:cs="Arial"/>
        </w:rPr>
        <w:t xml:space="preserve"> not only did the judge fail to remind himself that the family life was established in precarious circumstances, but overall he reached a conclusion in the claimant’s favour that he was not entitled to reach.  The strength of the public interest in removal and the weakness of the right to respect for </w:t>
      </w:r>
      <w:r w:rsidR="00376AB3">
        <w:rPr>
          <w:rFonts w:ascii="Book Antiqua" w:hAnsi="Book Antiqua" w:cs="Arial"/>
        </w:rPr>
        <w:t xml:space="preserve">family </w:t>
      </w:r>
      <w:r>
        <w:rPr>
          <w:rFonts w:ascii="Book Antiqua" w:hAnsi="Book Antiqua" w:cs="Arial"/>
        </w:rPr>
        <w:t xml:space="preserve">life established in </w:t>
      </w:r>
      <w:r w:rsidR="00376AB3">
        <w:rPr>
          <w:rFonts w:ascii="Book Antiqua" w:hAnsi="Book Antiqua" w:cs="Arial"/>
        </w:rPr>
        <w:t xml:space="preserve">these </w:t>
      </w:r>
      <w:r>
        <w:rPr>
          <w:rFonts w:ascii="Book Antiqua" w:hAnsi="Book Antiqua" w:cs="Arial"/>
        </w:rPr>
        <w:t xml:space="preserve">circumstances, was such that any properly </w:t>
      </w:r>
      <w:r w:rsidR="00376AB3">
        <w:rPr>
          <w:rFonts w:ascii="Book Antiqua" w:hAnsi="Book Antiqua" w:cs="Arial"/>
        </w:rPr>
        <w:t>self-directed judge was bound to conclude that the Secretary of State had justified refusal of admission as a proportionate measure in the interests of prevention of crime and disorder</w:t>
      </w:r>
      <w:r w:rsidR="00B66CCC">
        <w:rPr>
          <w:rFonts w:ascii="Book Antiqua" w:hAnsi="Book Antiqua" w:cs="Arial"/>
        </w:rPr>
        <w:t>, irrespective of the consequences to claimant and her husband</w:t>
      </w:r>
      <w:r w:rsidR="00376AB3">
        <w:rPr>
          <w:rFonts w:ascii="Book Antiqua" w:hAnsi="Book Antiqua" w:cs="Arial"/>
        </w:rPr>
        <w:t>. This is a case where Lord Bingham’s observations cited at [37] are particularly applicable.</w:t>
      </w:r>
      <w:r w:rsidR="00976F70">
        <w:rPr>
          <w:rFonts w:ascii="Book Antiqua" w:hAnsi="Book Antiqua" w:cs="Arial"/>
        </w:rPr>
        <w:t xml:space="preserve">  There is a material error of law and we set aside the decision allowing the appeal.</w:t>
      </w:r>
    </w:p>
    <w:p w:rsidR="00976F70" w:rsidRDefault="00976F70" w:rsidP="00976F70">
      <w:pPr>
        <w:tabs>
          <w:tab w:val="left" w:pos="567"/>
        </w:tabs>
        <w:jc w:val="both"/>
        <w:rPr>
          <w:rFonts w:ascii="Book Antiqua" w:hAnsi="Book Antiqua" w:cs="Arial"/>
        </w:rPr>
      </w:pPr>
    </w:p>
    <w:p w:rsidR="00976F70" w:rsidRDefault="00976F70" w:rsidP="00533E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In the light of this conclusion, we conclude that we can re</w:t>
      </w:r>
      <w:r w:rsidR="00C20C5A">
        <w:rPr>
          <w:rFonts w:ascii="Book Antiqua" w:hAnsi="Book Antiqua" w:cs="Arial"/>
        </w:rPr>
        <w:t>-</w:t>
      </w:r>
      <w:r>
        <w:rPr>
          <w:rFonts w:ascii="Book Antiqua" w:hAnsi="Book Antiqua" w:cs="Arial"/>
        </w:rPr>
        <w:t>make the case on the information before us without a further hearing, as we informed the parties we anticipated would be the case, in the event that we found the conclusion irrational.</w:t>
      </w:r>
      <w:r w:rsidR="00533E55">
        <w:rPr>
          <w:rFonts w:ascii="Book Antiqua" w:hAnsi="Book Antiqua" w:cs="Arial"/>
        </w:rPr>
        <w:t xml:space="preserve"> However we ascertained at the hearing that Mr Akinola is a dual Nigerian and British national. It is clear that he has maintained his ties with his home country, including of course, the fact that he returned to marry the claimant there in March 2012.</w:t>
      </w:r>
    </w:p>
    <w:p w:rsidR="00976F70" w:rsidRDefault="00976F70" w:rsidP="00976F70">
      <w:pPr>
        <w:tabs>
          <w:tab w:val="left" w:pos="567"/>
        </w:tabs>
        <w:jc w:val="both"/>
        <w:rPr>
          <w:rFonts w:ascii="Book Antiqua" w:hAnsi="Book Antiqua" w:cs="Arial"/>
        </w:rPr>
      </w:pPr>
    </w:p>
    <w:p w:rsidR="00533E55" w:rsidRDefault="00376AB3"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W</w:t>
      </w:r>
      <w:r w:rsidR="0039733C">
        <w:rPr>
          <w:rFonts w:ascii="Book Antiqua" w:hAnsi="Book Antiqua" w:cs="Arial"/>
        </w:rPr>
        <w:t xml:space="preserve">hilst we did not find an error of law in the judge’s conclusions that it would not be reasonable for Mr Akinola to live in </w:t>
      </w:r>
      <w:smartTag w:uri="urn:schemas-microsoft-com:office:smarttags" w:element="PlaceType">
        <w:r w:rsidR="0039733C">
          <w:rPr>
            <w:rFonts w:ascii="Book Antiqua" w:hAnsi="Book Antiqua" w:cs="Arial"/>
          </w:rPr>
          <w:t>Nigeria</w:t>
        </w:r>
      </w:smartTag>
      <w:r w:rsidR="0039733C">
        <w:rPr>
          <w:rFonts w:ascii="Book Antiqua" w:hAnsi="Book Antiqua" w:cs="Arial"/>
        </w:rPr>
        <w:t>, now w</w:t>
      </w:r>
      <w:r>
        <w:rPr>
          <w:rFonts w:ascii="Book Antiqua" w:hAnsi="Book Antiqua" w:cs="Arial"/>
        </w:rPr>
        <w:t>e</w:t>
      </w:r>
      <w:r w:rsidR="0039733C">
        <w:rPr>
          <w:rFonts w:ascii="Book Antiqua" w:hAnsi="Book Antiqua" w:cs="Arial"/>
        </w:rPr>
        <w:t xml:space="preserve"> have found an error of law it is open to us to re</w:t>
      </w:r>
      <w:r w:rsidR="00C20C5A">
        <w:rPr>
          <w:rFonts w:ascii="Book Antiqua" w:hAnsi="Book Antiqua" w:cs="Arial"/>
        </w:rPr>
        <w:t>-</w:t>
      </w:r>
      <w:r w:rsidR="0039733C">
        <w:rPr>
          <w:rFonts w:ascii="Book Antiqua" w:hAnsi="Book Antiqua" w:cs="Arial"/>
        </w:rPr>
        <w:t xml:space="preserve">visit the question. We do not disturb the primary facts found but note that we now know that Mr Akinola is a dual national. </w:t>
      </w:r>
      <w:r w:rsidR="00533E55">
        <w:rPr>
          <w:rFonts w:ascii="Book Antiqua" w:hAnsi="Book Antiqua" w:cs="Arial"/>
        </w:rPr>
        <w:t xml:space="preserve">He </w:t>
      </w:r>
      <w:r>
        <w:rPr>
          <w:rFonts w:ascii="Book Antiqua" w:hAnsi="Book Antiqua" w:cs="Arial"/>
        </w:rPr>
        <w:t xml:space="preserve">has retained his Nigerian nationality and has visited </w:t>
      </w:r>
      <w:r w:rsidR="0039733C">
        <w:rPr>
          <w:rFonts w:ascii="Book Antiqua" w:hAnsi="Book Antiqua" w:cs="Arial"/>
        </w:rPr>
        <w:t>the country recently</w:t>
      </w:r>
      <w:r>
        <w:rPr>
          <w:rFonts w:ascii="Book Antiqua" w:hAnsi="Book Antiqua" w:cs="Arial"/>
        </w:rPr>
        <w:t xml:space="preserve">. </w:t>
      </w:r>
      <w:r w:rsidR="00533E55">
        <w:rPr>
          <w:rFonts w:ascii="Book Antiqua" w:hAnsi="Book Antiqua" w:cs="Arial"/>
        </w:rPr>
        <w:t xml:space="preserve">We do not think that the indefinite separation of this couple is inevitable if she is removed to </w:t>
      </w:r>
      <w:smartTag w:uri="urn:schemas-microsoft-com:office:smarttags" w:element="PlaceType">
        <w:r w:rsidR="00533E55">
          <w:rPr>
            <w:rFonts w:ascii="Book Antiqua" w:hAnsi="Book Antiqua" w:cs="Arial"/>
          </w:rPr>
          <w:t>Nigeria</w:t>
        </w:r>
      </w:smartTag>
      <w:r w:rsidR="00533E55">
        <w:rPr>
          <w:rFonts w:ascii="Book Antiqua" w:hAnsi="Book Antiqua" w:cs="Arial"/>
        </w:rPr>
        <w:t>. Even if Mr Akinola</w:t>
      </w:r>
      <w:r>
        <w:rPr>
          <w:rFonts w:ascii="Book Antiqua" w:hAnsi="Book Antiqua" w:cs="Arial"/>
        </w:rPr>
        <w:t xml:space="preserve"> had understandable reasons to want to remain in the </w:t>
      </w:r>
      <w:smartTag w:uri="urn:schemas-microsoft-com:office:smarttags" w:element="PlaceType">
        <w:r>
          <w:rPr>
            <w:rFonts w:ascii="Book Antiqua" w:hAnsi="Book Antiqua" w:cs="Arial"/>
          </w:rPr>
          <w:t>U</w:t>
        </w:r>
        <w:r w:rsidR="00533E55">
          <w:rPr>
            <w:rFonts w:ascii="Book Antiqua" w:hAnsi="Book Antiqua" w:cs="Arial"/>
          </w:rPr>
          <w:t xml:space="preserve">nited </w:t>
        </w:r>
        <w:r>
          <w:rPr>
            <w:rFonts w:ascii="Book Antiqua" w:hAnsi="Book Antiqua" w:cs="Arial"/>
          </w:rPr>
          <w:t>K</w:t>
        </w:r>
        <w:r w:rsidR="00533E55">
          <w:rPr>
            <w:rFonts w:ascii="Book Antiqua" w:hAnsi="Book Antiqua" w:cs="Arial"/>
          </w:rPr>
          <w:t>ingdom</w:t>
        </w:r>
      </w:smartTag>
      <w:r>
        <w:rPr>
          <w:rFonts w:ascii="Book Antiqua" w:hAnsi="Book Antiqua" w:cs="Arial"/>
        </w:rPr>
        <w:t xml:space="preserve"> and relocation </w:t>
      </w:r>
      <w:r w:rsidR="0039733C">
        <w:rPr>
          <w:rFonts w:ascii="Book Antiqua" w:hAnsi="Book Antiqua" w:cs="Arial"/>
        </w:rPr>
        <w:t xml:space="preserve">to </w:t>
      </w:r>
      <w:smartTag w:uri="urn:schemas-microsoft-com:office:smarttags" w:element="PlaceType">
        <w:r w:rsidR="0039733C">
          <w:rPr>
            <w:rFonts w:ascii="Book Antiqua" w:hAnsi="Book Antiqua" w:cs="Arial"/>
          </w:rPr>
          <w:t>Nigeria</w:t>
        </w:r>
      </w:smartTag>
      <w:r w:rsidR="0039733C">
        <w:rPr>
          <w:rFonts w:ascii="Book Antiqua" w:hAnsi="Book Antiqua" w:cs="Arial"/>
        </w:rPr>
        <w:t xml:space="preserve"> </w:t>
      </w:r>
      <w:r>
        <w:rPr>
          <w:rFonts w:ascii="Book Antiqua" w:hAnsi="Book Antiqua" w:cs="Arial"/>
        </w:rPr>
        <w:t xml:space="preserve">would be a hardship for him, we have seen nothing to suggest that he would not be able to follow his wife to </w:t>
      </w:r>
      <w:smartTag w:uri="urn:schemas-microsoft-com:office:smarttags" w:element="PlaceType">
        <w:r>
          <w:rPr>
            <w:rFonts w:ascii="Book Antiqua" w:hAnsi="Book Antiqua" w:cs="Arial"/>
          </w:rPr>
          <w:t>Nigeria</w:t>
        </w:r>
      </w:smartTag>
      <w:r>
        <w:rPr>
          <w:rFonts w:ascii="Book Antiqua" w:hAnsi="Book Antiqua" w:cs="Arial"/>
        </w:rPr>
        <w:t>.</w:t>
      </w:r>
      <w:r w:rsidR="00266144">
        <w:rPr>
          <w:rFonts w:ascii="Book Antiqua" w:hAnsi="Book Antiqua" w:cs="Arial"/>
        </w:rPr>
        <w:t xml:space="preserve"> </w:t>
      </w:r>
    </w:p>
    <w:p w:rsidR="00533E55" w:rsidRDefault="00533E55" w:rsidP="00533E55">
      <w:pPr>
        <w:tabs>
          <w:tab w:val="left" w:pos="567"/>
        </w:tabs>
        <w:jc w:val="both"/>
        <w:rPr>
          <w:rFonts w:ascii="Book Antiqua" w:hAnsi="Book Antiqua" w:cs="Arial"/>
        </w:rPr>
      </w:pPr>
    </w:p>
    <w:p w:rsidR="004076E9" w:rsidRDefault="00266144"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I</w:t>
      </w:r>
      <w:r w:rsidR="0039733C">
        <w:rPr>
          <w:rFonts w:ascii="Book Antiqua" w:hAnsi="Book Antiqua" w:cs="Arial"/>
        </w:rPr>
        <w:t xml:space="preserve">n the particular circumstances of this case, given the circumstances in which the relationship arose we conclude that it </w:t>
      </w:r>
      <w:r>
        <w:rPr>
          <w:rFonts w:ascii="Book Antiqua" w:hAnsi="Book Antiqua" w:cs="Arial"/>
        </w:rPr>
        <w:t>is not unreasonable for him to have to decide b</w:t>
      </w:r>
      <w:r w:rsidR="00B66CCC">
        <w:rPr>
          <w:rFonts w:ascii="Book Antiqua" w:hAnsi="Book Antiqua" w:cs="Arial"/>
        </w:rPr>
        <w:t>etween retaining his residence in</w:t>
      </w:r>
      <w:r>
        <w:rPr>
          <w:rFonts w:ascii="Book Antiqua" w:hAnsi="Book Antiqua" w:cs="Arial"/>
        </w:rPr>
        <w:t xml:space="preserve"> the </w:t>
      </w:r>
      <w:smartTag w:uri="urn:schemas-microsoft-com:office:smarttags" w:element="PlaceType">
        <w:r>
          <w:rPr>
            <w:rFonts w:ascii="Book Antiqua" w:hAnsi="Book Antiqua" w:cs="Arial"/>
          </w:rPr>
          <w:t>U</w:t>
        </w:r>
        <w:r w:rsidR="00533E55">
          <w:rPr>
            <w:rFonts w:ascii="Book Antiqua" w:hAnsi="Book Antiqua" w:cs="Arial"/>
          </w:rPr>
          <w:t xml:space="preserve">nited </w:t>
        </w:r>
        <w:r>
          <w:rPr>
            <w:rFonts w:ascii="Book Antiqua" w:hAnsi="Book Antiqua" w:cs="Arial"/>
          </w:rPr>
          <w:t>K</w:t>
        </w:r>
        <w:r w:rsidR="00533E55">
          <w:rPr>
            <w:rFonts w:ascii="Book Antiqua" w:hAnsi="Book Antiqua" w:cs="Arial"/>
          </w:rPr>
          <w:t>ingdom</w:t>
        </w:r>
      </w:smartTag>
      <w:r>
        <w:rPr>
          <w:rFonts w:ascii="Book Antiqua" w:hAnsi="Book Antiqua" w:cs="Arial"/>
        </w:rPr>
        <w:t xml:space="preserve"> and following his wife</w:t>
      </w:r>
      <w:r w:rsidR="00B66CCC">
        <w:rPr>
          <w:rFonts w:ascii="Book Antiqua" w:hAnsi="Book Antiqua" w:cs="Arial"/>
        </w:rPr>
        <w:t xml:space="preserve"> to </w:t>
      </w:r>
      <w:smartTag w:uri="urn:schemas-microsoft-com:office:smarttags" w:element="PlaceType">
        <w:r w:rsidR="00B66CCC">
          <w:rPr>
            <w:rFonts w:ascii="Book Antiqua" w:hAnsi="Book Antiqua" w:cs="Arial"/>
          </w:rPr>
          <w:t>Nigeria</w:t>
        </w:r>
      </w:smartTag>
      <w:r w:rsidR="0039733C">
        <w:rPr>
          <w:rFonts w:ascii="Book Antiqua" w:hAnsi="Book Antiqua" w:cs="Arial"/>
        </w:rPr>
        <w:t xml:space="preserve"> for the time bein</w:t>
      </w:r>
      <w:r w:rsidR="00533E55">
        <w:rPr>
          <w:rFonts w:ascii="Book Antiqua" w:hAnsi="Book Antiqua" w:cs="Arial"/>
        </w:rPr>
        <w:t>g t</w:t>
      </w:r>
      <w:r w:rsidR="0039733C">
        <w:rPr>
          <w:rFonts w:ascii="Book Antiqua" w:hAnsi="Book Antiqua" w:cs="Arial"/>
        </w:rPr>
        <w:t>o continue family life there</w:t>
      </w:r>
      <w:r>
        <w:rPr>
          <w:rFonts w:ascii="Book Antiqua" w:hAnsi="Book Antiqua" w:cs="Arial"/>
        </w:rPr>
        <w:t xml:space="preserve">. </w:t>
      </w:r>
      <w:r w:rsidR="00533E55">
        <w:rPr>
          <w:rFonts w:ascii="Book Antiqua" w:hAnsi="Book Antiqua" w:cs="Arial"/>
        </w:rPr>
        <w:t>In any event, t</w:t>
      </w:r>
      <w:r w:rsidR="008431C9">
        <w:rPr>
          <w:rFonts w:ascii="Book Antiqua" w:hAnsi="Book Antiqua" w:cs="Arial"/>
        </w:rPr>
        <w:t xml:space="preserve">he fact that it may not be reasonable to expect the other family members to relocate does not mean that in every case </w:t>
      </w:r>
      <w:r w:rsidR="00533E55">
        <w:rPr>
          <w:rFonts w:ascii="Book Antiqua" w:hAnsi="Book Antiqua" w:cs="Arial"/>
        </w:rPr>
        <w:t>deportation</w:t>
      </w:r>
      <w:r w:rsidR="00385AB3">
        <w:rPr>
          <w:rFonts w:ascii="Book Antiqua" w:hAnsi="Book Antiqua" w:cs="Arial"/>
        </w:rPr>
        <w:t xml:space="preserve"> or removal</w:t>
      </w:r>
      <w:r w:rsidR="00533E55">
        <w:rPr>
          <w:rFonts w:ascii="Book Antiqua" w:hAnsi="Book Antiqua" w:cs="Arial"/>
        </w:rPr>
        <w:t xml:space="preserve"> is disproportionate or not justified.</w:t>
      </w:r>
    </w:p>
    <w:p w:rsidR="004076E9" w:rsidRDefault="004076E9" w:rsidP="004076E9">
      <w:pPr>
        <w:tabs>
          <w:tab w:val="left" w:pos="567"/>
        </w:tabs>
        <w:jc w:val="both"/>
        <w:rPr>
          <w:rFonts w:ascii="Book Antiqua" w:hAnsi="Book Antiqua" w:cs="Arial"/>
        </w:rPr>
      </w:pPr>
    </w:p>
    <w:p w:rsidR="00266144" w:rsidRDefault="00266144" w:rsidP="000A4F55">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facts are materially different from those of the case of the successful appellant in </w:t>
      </w:r>
      <w:r w:rsidRPr="00266144">
        <w:rPr>
          <w:rFonts w:ascii="Book Antiqua" w:hAnsi="Book Antiqua" w:cs="Arial"/>
          <w:u w:val="single"/>
        </w:rPr>
        <w:t>Sanade</w:t>
      </w:r>
      <w:r>
        <w:rPr>
          <w:rFonts w:ascii="Book Antiqua" w:hAnsi="Book Antiqua" w:cs="Arial"/>
        </w:rPr>
        <w:t xml:space="preserve"> where it was not reasonable to expect the spouse to leave the EU as</w:t>
      </w:r>
      <w:r w:rsidR="00E34430">
        <w:rPr>
          <w:rFonts w:ascii="Book Antiqua" w:hAnsi="Book Antiqua" w:cs="Arial"/>
        </w:rPr>
        <w:t xml:space="preserve"> in </w:t>
      </w:r>
      <w:r>
        <w:rPr>
          <w:rFonts w:ascii="Book Antiqua" w:hAnsi="Book Antiqua" w:cs="Arial"/>
        </w:rPr>
        <w:t xml:space="preserve">that </w:t>
      </w:r>
      <w:r w:rsidR="00E34430">
        <w:rPr>
          <w:rFonts w:ascii="Book Antiqua" w:hAnsi="Book Antiqua" w:cs="Arial"/>
        </w:rPr>
        <w:t xml:space="preserve">case </w:t>
      </w:r>
      <w:r w:rsidR="0039733C">
        <w:rPr>
          <w:rFonts w:ascii="Book Antiqua" w:hAnsi="Book Antiqua" w:cs="Arial"/>
        </w:rPr>
        <w:t xml:space="preserve">the claimant had been </w:t>
      </w:r>
      <w:r w:rsidR="008431C9">
        <w:rPr>
          <w:rFonts w:ascii="Book Antiqua" w:hAnsi="Book Antiqua" w:cs="Arial"/>
        </w:rPr>
        <w:t xml:space="preserve">granted indefinite leave to remain before committing the offence and </w:t>
      </w:r>
      <w:r w:rsidR="00E34430">
        <w:rPr>
          <w:rFonts w:ascii="Book Antiqua" w:hAnsi="Book Antiqua" w:cs="Arial"/>
        </w:rPr>
        <w:t xml:space="preserve">requiring the mother to leave would </w:t>
      </w:r>
      <w:r>
        <w:rPr>
          <w:rFonts w:ascii="Book Antiqua" w:hAnsi="Book Antiqua" w:cs="Arial"/>
        </w:rPr>
        <w:t>also require the minor children to be compelled to do so.</w:t>
      </w:r>
      <w:r w:rsidR="000E7195">
        <w:rPr>
          <w:rFonts w:ascii="Book Antiqua" w:hAnsi="Book Antiqua" w:cs="Arial"/>
        </w:rPr>
        <w:t xml:space="preserve"> The UKBA continues to accept that EU law prevents the state requiring an EU law citizen </w:t>
      </w:r>
      <w:r w:rsidR="00C20C5A">
        <w:rPr>
          <w:rFonts w:ascii="Book Antiqua" w:hAnsi="Book Antiqua" w:cs="Arial"/>
        </w:rPr>
        <w:t>from leaving the United Kingdom</w:t>
      </w:r>
      <w:r w:rsidR="000E7195">
        <w:rPr>
          <w:rFonts w:ascii="Book Antiqua" w:hAnsi="Book Antiqua" w:cs="Arial"/>
        </w:rPr>
        <w:t xml:space="preserve">, although contends with good </w:t>
      </w:r>
      <w:r w:rsidR="00B66CCC">
        <w:rPr>
          <w:rFonts w:ascii="Book Antiqua" w:hAnsi="Book Antiqua" w:cs="Arial"/>
        </w:rPr>
        <w:t xml:space="preserve">reason, </w:t>
      </w:r>
      <w:r w:rsidR="000E7195">
        <w:rPr>
          <w:rFonts w:ascii="Book Antiqua" w:hAnsi="Book Antiqua" w:cs="Arial"/>
        </w:rPr>
        <w:t>that this is to be distinguished from a case where an independent adult can chose between continued residence in the United Kingdom or continued cohabitation abroad.</w:t>
      </w:r>
    </w:p>
    <w:p w:rsidR="00266144" w:rsidRDefault="00266144" w:rsidP="00266144">
      <w:pPr>
        <w:tabs>
          <w:tab w:val="left" w:pos="567"/>
        </w:tabs>
        <w:jc w:val="both"/>
        <w:rPr>
          <w:rFonts w:ascii="Book Antiqua" w:hAnsi="Book Antiqua" w:cs="Arial"/>
        </w:rPr>
      </w:pPr>
    </w:p>
    <w:p w:rsidR="00976F70" w:rsidRPr="00976F70" w:rsidRDefault="00376AB3" w:rsidP="00976F70">
      <w:pPr>
        <w:numPr>
          <w:ilvl w:val="0"/>
          <w:numId w:val="1"/>
        </w:numPr>
        <w:tabs>
          <w:tab w:val="clear" w:pos="927"/>
          <w:tab w:val="left" w:pos="567"/>
        </w:tabs>
        <w:ind w:left="540" w:hanging="540"/>
        <w:jc w:val="both"/>
        <w:rPr>
          <w:rFonts w:ascii="Book Antiqua" w:hAnsi="Book Antiqua" w:cs="Arial"/>
          <w:u w:val="single"/>
        </w:rPr>
      </w:pPr>
      <w:r>
        <w:rPr>
          <w:rFonts w:ascii="Book Antiqua" w:hAnsi="Book Antiqua" w:cs="Arial"/>
        </w:rPr>
        <w:t xml:space="preserve">Taking all the facts found </w:t>
      </w:r>
      <w:r w:rsidR="00B66CCC">
        <w:rPr>
          <w:rFonts w:ascii="Book Antiqua" w:hAnsi="Book Antiqua" w:cs="Arial"/>
        </w:rPr>
        <w:t xml:space="preserve">below </w:t>
      </w:r>
      <w:r>
        <w:rPr>
          <w:rFonts w:ascii="Book Antiqua" w:hAnsi="Book Antiqua" w:cs="Arial"/>
        </w:rPr>
        <w:t>in the claimant’s favour into account,</w:t>
      </w:r>
      <w:r w:rsidR="00976F70">
        <w:rPr>
          <w:rFonts w:ascii="Book Antiqua" w:hAnsi="Book Antiqua" w:cs="Arial"/>
        </w:rPr>
        <w:t xml:space="preserve"> it is clear that the Secretary of State’s decision is in accordance with the rules and the applicable policy and is not unlawful.  In our judgment it is taken in support of a legitimate aim of protecting public order and the rights and freedoms of others, </w:t>
      </w:r>
      <w:r w:rsidR="00533E55">
        <w:rPr>
          <w:rFonts w:ascii="Book Antiqua" w:hAnsi="Book Antiqua" w:cs="Arial"/>
        </w:rPr>
        <w:t xml:space="preserve">is </w:t>
      </w:r>
      <w:r w:rsidR="00976F70">
        <w:rPr>
          <w:rFonts w:ascii="Book Antiqua" w:hAnsi="Book Antiqua" w:cs="Arial"/>
        </w:rPr>
        <w:t xml:space="preserve">a  proportionate </w:t>
      </w:r>
      <w:r w:rsidR="00B66CCC">
        <w:rPr>
          <w:rFonts w:ascii="Book Antiqua" w:hAnsi="Book Antiqua" w:cs="Arial"/>
        </w:rPr>
        <w:t xml:space="preserve"> </w:t>
      </w:r>
      <w:r w:rsidR="00976F70">
        <w:rPr>
          <w:rFonts w:ascii="Book Antiqua" w:hAnsi="Book Antiqua" w:cs="Arial"/>
        </w:rPr>
        <w:t xml:space="preserve">and fair balance in all the circumstances and thus a justified interference with Article 8 rights. </w:t>
      </w:r>
    </w:p>
    <w:p w:rsidR="00976F70" w:rsidRDefault="00976F70" w:rsidP="00976F70">
      <w:pPr>
        <w:tabs>
          <w:tab w:val="left" w:pos="567"/>
        </w:tabs>
        <w:jc w:val="both"/>
        <w:rPr>
          <w:rFonts w:ascii="Book Antiqua" w:hAnsi="Book Antiqua" w:cs="Arial"/>
          <w:u w:val="single"/>
        </w:rPr>
      </w:pPr>
    </w:p>
    <w:p w:rsidR="00266144" w:rsidRDefault="00266144" w:rsidP="00976F70">
      <w:pPr>
        <w:tabs>
          <w:tab w:val="left" w:pos="567"/>
        </w:tabs>
        <w:jc w:val="both"/>
        <w:rPr>
          <w:rFonts w:ascii="Book Antiqua" w:hAnsi="Book Antiqua" w:cs="Arial"/>
          <w:u w:val="single"/>
        </w:rPr>
      </w:pPr>
      <w:r w:rsidRPr="00557A4C">
        <w:rPr>
          <w:rFonts w:ascii="Book Antiqua" w:hAnsi="Book Antiqua" w:cs="Arial"/>
          <w:u w:val="single"/>
        </w:rPr>
        <w:t>Conclusions:</w:t>
      </w:r>
    </w:p>
    <w:p w:rsidR="00BA0A2F" w:rsidRPr="00557A4C" w:rsidRDefault="00BA0A2F" w:rsidP="00266144">
      <w:pPr>
        <w:tabs>
          <w:tab w:val="left" w:pos="567"/>
        </w:tabs>
        <w:jc w:val="both"/>
        <w:outlineLvl w:val="0"/>
        <w:rPr>
          <w:rFonts w:ascii="Book Antiqua" w:hAnsi="Book Antiqua" w:cs="Arial"/>
          <w:u w:val="single"/>
        </w:rPr>
      </w:pPr>
    </w:p>
    <w:p w:rsidR="00557A4C" w:rsidRDefault="00557A4C" w:rsidP="00266144">
      <w:pPr>
        <w:numPr>
          <w:ilvl w:val="0"/>
          <w:numId w:val="1"/>
        </w:numPr>
        <w:tabs>
          <w:tab w:val="clear" w:pos="927"/>
          <w:tab w:val="left" w:pos="567"/>
        </w:tabs>
        <w:ind w:left="540" w:hanging="540"/>
        <w:jc w:val="both"/>
        <w:rPr>
          <w:rFonts w:ascii="Book Antiqua" w:hAnsi="Book Antiqua" w:cs="Arial"/>
        </w:rPr>
      </w:pPr>
      <w:r>
        <w:rPr>
          <w:rFonts w:ascii="Book Antiqua" w:hAnsi="Book Antiqua" w:cs="Arial"/>
        </w:rPr>
        <w:t xml:space="preserve">The </w:t>
      </w:r>
      <w:r w:rsidR="00195EAB">
        <w:rPr>
          <w:rFonts w:ascii="Book Antiqua" w:hAnsi="Book Antiqua" w:cs="Arial"/>
        </w:rPr>
        <w:t>determination</w:t>
      </w:r>
      <w:r w:rsidR="00976F70">
        <w:rPr>
          <w:rFonts w:ascii="Book Antiqua" w:hAnsi="Book Antiqua" w:cs="Arial"/>
        </w:rPr>
        <w:t xml:space="preserve"> of the First-tier Tribunal </w:t>
      </w:r>
      <w:r w:rsidR="00195EAB">
        <w:rPr>
          <w:rFonts w:ascii="Book Antiqua" w:hAnsi="Book Antiqua" w:cs="Arial"/>
        </w:rPr>
        <w:t>involve</w:t>
      </w:r>
      <w:r w:rsidR="00C20C5A">
        <w:rPr>
          <w:rFonts w:ascii="Book Antiqua" w:hAnsi="Book Antiqua" w:cs="Arial"/>
        </w:rPr>
        <w:t>d</w:t>
      </w:r>
      <w:r w:rsidR="00195EAB">
        <w:rPr>
          <w:rFonts w:ascii="Book Antiqua" w:hAnsi="Book Antiqua" w:cs="Arial"/>
        </w:rPr>
        <w:t xml:space="preserve"> the making of an error on a point of law.</w:t>
      </w:r>
    </w:p>
    <w:p w:rsidR="00557A4C" w:rsidRDefault="00557A4C" w:rsidP="00557A4C">
      <w:pPr>
        <w:tabs>
          <w:tab w:val="left" w:pos="567"/>
        </w:tabs>
        <w:jc w:val="both"/>
        <w:rPr>
          <w:rFonts w:ascii="Book Antiqua" w:hAnsi="Book Antiqua" w:cs="Arial"/>
        </w:rPr>
      </w:pPr>
    </w:p>
    <w:p w:rsidR="00557A4C" w:rsidRDefault="00557A4C" w:rsidP="00521FAD">
      <w:pPr>
        <w:tabs>
          <w:tab w:val="left" w:pos="567"/>
        </w:tabs>
        <w:jc w:val="both"/>
        <w:outlineLvl w:val="0"/>
        <w:rPr>
          <w:rFonts w:ascii="Book Antiqua" w:hAnsi="Book Antiqua" w:cs="Arial"/>
        </w:rPr>
      </w:pPr>
      <w:r>
        <w:rPr>
          <w:rFonts w:ascii="Book Antiqua" w:hAnsi="Book Antiqua" w:cs="Arial"/>
        </w:rPr>
        <w:tab/>
        <w:t xml:space="preserve">We set aside the </w:t>
      </w:r>
      <w:r w:rsidR="00195EAB">
        <w:rPr>
          <w:rFonts w:ascii="Book Antiqua" w:hAnsi="Book Antiqua" w:cs="Arial"/>
        </w:rPr>
        <w:t>determination</w:t>
      </w:r>
      <w:r w:rsidR="004C3D4C">
        <w:rPr>
          <w:rFonts w:ascii="Book Antiqua" w:hAnsi="Book Antiqua" w:cs="Arial"/>
        </w:rPr>
        <w:t>.</w:t>
      </w:r>
      <w:r w:rsidR="00195EAB">
        <w:rPr>
          <w:rFonts w:ascii="Book Antiqua" w:hAnsi="Book Antiqua" w:cs="Arial"/>
        </w:rPr>
        <w:t xml:space="preserve"> </w:t>
      </w:r>
    </w:p>
    <w:p w:rsidR="00557A4C" w:rsidRDefault="00557A4C" w:rsidP="00557A4C">
      <w:pPr>
        <w:tabs>
          <w:tab w:val="left" w:pos="567"/>
        </w:tabs>
        <w:jc w:val="both"/>
        <w:rPr>
          <w:rFonts w:ascii="Book Antiqua" w:hAnsi="Book Antiqua" w:cs="Arial"/>
        </w:rPr>
      </w:pPr>
    </w:p>
    <w:p w:rsidR="00557A4C" w:rsidRDefault="00557A4C" w:rsidP="00521FAD">
      <w:pPr>
        <w:tabs>
          <w:tab w:val="left" w:pos="567"/>
        </w:tabs>
        <w:jc w:val="both"/>
        <w:outlineLvl w:val="0"/>
        <w:rPr>
          <w:rFonts w:ascii="Book Antiqua" w:hAnsi="Book Antiqua" w:cs="Arial"/>
        </w:rPr>
      </w:pPr>
      <w:r>
        <w:rPr>
          <w:rFonts w:ascii="Book Antiqua" w:hAnsi="Book Antiqua" w:cs="Arial"/>
        </w:rPr>
        <w:tab/>
        <w:t>We re</w:t>
      </w:r>
      <w:r w:rsidR="00195EAB">
        <w:rPr>
          <w:rFonts w:ascii="Book Antiqua" w:hAnsi="Book Antiqua" w:cs="Arial"/>
        </w:rPr>
        <w:t>-</w:t>
      </w:r>
      <w:r>
        <w:rPr>
          <w:rFonts w:ascii="Book Antiqua" w:hAnsi="Book Antiqua" w:cs="Arial"/>
        </w:rPr>
        <w:t>make the decision</w:t>
      </w:r>
      <w:r w:rsidR="00195EAB">
        <w:rPr>
          <w:rFonts w:ascii="Book Antiqua" w:hAnsi="Book Antiqua" w:cs="Arial"/>
        </w:rPr>
        <w:t xml:space="preserve"> in the </w:t>
      </w:r>
      <w:r w:rsidR="00266144">
        <w:rPr>
          <w:rFonts w:ascii="Book Antiqua" w:hAnsi="Book Antiqua" w:cs="Arial"/>
        </w:rPr>
        <w:t xml:space="preserve">claimant’s </w:t>
      </w:r>
      <w:r w:rsidR="00195EAB">
        <w:rPr>
          <w:rFonts w:ascii="Book Antiqua" w:hAnsi="Book Antiqua" w:cs="Arial"/>
        </w:rPr>
        <w:t>appeal</w:t>
      </w:r>
      <w:r>
        <w:rPr>
          <w:rFonts w:ascii="Book Antiqua" w:hAnsi="Book Antiqua" w:cs="Arial"/>
        </w:rPr>
        <w:t xml:space="preserve"> by dismissing </w:t>
      </w:r>
      <w:r w:rsidR="00195EAB">
        <w:rPr>
          <w:rFonts w:ascii="Book Antiqua" w:hAnsi="Book Antiqua" w:cs="Arial"/>
        </w:rPr>
        <w:t>it</w:t>
      </w:r>
      <w:r w:rsidR="004C3D4C">
        <w:rPr>
          <w:rFonts w:ascii="Book Antiqua" w:hAnsi="Book Antiqua" w:cs="Arial"/>
        </w:rPr>
        <w:t>.</w:t>
      </w:r>
    </w:p>
    <w:p w:rsidR="00652CD3" w:rsidRDefault="00652CD3" w:rsidP="00521FAD">
      <w:pPr>
        <w:tabs>
          <w:tab w:val="left" w:pos="567"/>
        </w:tabs>
        <w:jc w:val="both"/>
        <w:outlineLvl w:val="0"/>
        <w:rPr>
          <w:rFonts w:ascii="Book Antiqua" w:hAnsi="Book Antiqua" w:cs="Arial"/>
        </w:rPr>
      </w:pPr>
    </w:p>
    <w:p w:rsidR="00652CD3" w:rsidRDefault="00652CD3" w:rsidP="00521FAD">
      <w:pPr>
        <w:tabs>
          <w:tab w:val="left" w:pos="567"/>
        </w:tabs>
        <w:jc w:val="both"/>
        <w:outlineLvl w:val="0"/>
        <w:rPr>
          <w:rFonts w:ascii="Book Antiqua" w:hAnsi="Book Antiqua" w:cs="Arial"/>
        </w:rPr>
      </w:pPr>
      <w:r>
        <w:rPr>
          <w:rFonts w:ascii="Book Antiqua" w:hAnsi="Book Antiqua" w:cs="Arial"/>
        </w:rPr>
        <w:tab/>
        <w:t>All members of the panel have contributed to the making of this decision</w:t>
      </w:r>
    </w:p>
    <w:p w:rsidR="00557A4C" w:rsidRDefault="00557A4C" w:rsidP="00557A4C">
      <w:pPr>
        <w:tabs>
          <w:tab w:val="left" w:pos="567"/>
        </w:tabs>
        <w:jc w:val="both"/>
        <w:rPr>
          <w:rFonts w:ascii="Book Antiqua" w:hAnsi="Book Antiqua" w:cs="Arial"/>
        </w:rPr>
      </w:pPr>
    </w:p>
    <w:p w:rsidR="00BA0A2F" w:rsidRDefault="00780F86" w:rsidP="00593821">
      <w:pPr>
        <w:ind w:left="4508" w:hanging="539"/>
        <w:rPr>
          <w:rFonts w:ascii="Book Antiqua" w:hAnsi="Book Antiqua" w:cs="Arial"/>
        </w:rPr>
      </w:pPr>
      <w:r w:rsidRPr="00F97703">
        <w:rPr>
          <w:rFonts w:ascii="Book Antiqua" w:hAnsi="Book Antiqua" w:cs="Arial"/>
        </w:rPr>
        <w:t>Signed</w:t>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Pr="00F97703">
        <w:rPr>
          <w:rFonts w:ascii="Book Antiqua" w:hAnsi="Book Antiqua" w:cs="Arial"/>
        </w:rPr>
        <w:tab/>
      </w:r>
      <w:r w:rsidR="001F2716" w:rsidRPr="00F97703">
        <w:rPr>
          <w:rFonts w:ascii="Book Antiqua" w:hAnsi="Book Antiqua" w:cs="Arial"/>
        </w:rPr>
        <w:t>Date</w:t>
      </w:r>
    </w:p>
    <w:p w:rsidR="00BA0A2F" w:rsidRDefault="00BA0A2F" w:rsidP="00593821">
      <w:pPr>
        <w:ind w:left="4508" w:hanging="539"/>
        <w:rPr>
          <w:rFonts w:ascii="Book Antiqua" w:hAnsi="Book Antiqua" w:cs="Arial"/>
        </w:rPr>
      </w:pPr>
    </w:p>
    <w:p w:rsidR="001F2716" w:rsidRPr="00F97703" w:rsidRDefault="00976F70" w:rsidP="00593821">
      <w:pPr>
        <w:ind w:left="4508" w:hanging="539"/>
        <w:rPr>
          <w:rFonts w:ascii="Book Antiqua" w:hAnsi="Book Antiqua" w:cs="Arial"/>
        </w:rPr>
      </w:pPr>
      <w:r>
        <w:rPr>
          <w:rFonts w:ascii="Book Antiqua" w:hAnsi="Book Antiqua" w:cs="Arial"/>
        </w:rPr>
        <w:t xml:space="preserve">21 </w:t>
      </w:r>
      <w:r w:rsidR="00C20C5A">
        <w:rPr>
          <w:rFonts w:ascii="Book Antiqua" w:hAnsi="Book Antiqua" w:cs="Arial"/>
        </w:rPr>
        <w:t>January 2013</w:t>
      </w:r>
    </w:p>
    <w:p w:rsidR="00C56534" w:rsidRDefault="00C56534" w:rsidP="00C56534">
      <w:pPr>
        <w:tabs>
          <w:tab w:val="left" w:pos="567"/>
        </w:tabs>
        <w:jc w:val="both"/>
        <w:rPr>
          <w:rFonts w:ascii="Book Antiqua" w:hAnsi="Book Antiqua" w:cs="Arial"/>
        </w:rPr>
      </w:pPr>
    </w:p>
    <w:p w:rsidR="00652CD3" w:rsidRDefault="00652CD3" w:rsidP="00C56534">
      <w:pPr>
        <w:tabs>
          <w:tab w:val="left" w:pos="567"/>
        </w:tabs>
        <w:jc w:val="both"/>
        <w:rPr>
          <w:rFonts w:ascii="Book Antiqua" w:hAnsi="Book Antiqua" w:cs="Arial"/>
          <w:i/>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Chamber President</w:t>
      </w:r>
    </w:p>
    <w:p w:rsidR="004C6182" w:rsidRPr="00533E55" w:rsidRDefault="004C6182" w:rsidP="00C56534">
      <w:pPr>
        <w:tabs>
          <w:tab w:val="left" w:pos="567"/>
        </w:tabs>
        <w:jc w:val="both"/>
        <w:rPr>
          <w:rFonts w:ascii="Book Antiqua" w:hAnsi="Book Antiqua" w:cs="Arial"/>
          <w:b/>
        </w:rPr>
      </w:pPr>
      <w:r>
        <w:rPr>
          <w:rFonts w:ascii="Book Antiqua" w:hAnsi="Book Antiqua" w:cs="Arial"/>
        </w:rPr>
        <w:br w:type="page"/>
      </w:r>
      <w:r w:rsidRPr="00533E55">
        <w:rPr>
          <w:rFonts w:ascii="Book Antiqua" w:hAnsi="Book Antiqua" w:cs="Arial"/>
          <w:b/>
        </w:rPr>
        <w:t>APPENDIX A</w:t>
      </w:r>
    </w:p>
    <w:p w:rsidR="004C6182" w:rsidRDefault="004C6182" w:rsidP="00C56534">
      <w:pPr>
        <w:tabs>
          <w:tab w:val="left" w:pos="567"/>
        </w:tabs>
        <w:jc w:val="both"/>
        <w:rPr>
          <w:rFonts w:ascii="Book Antiqua" w:hAnsi="Book Antiqua" w:cs="Arial"/>
        </w:rPr>
      </w:pPr>
    </w:p>
    <w:p w:rsidR="004C6182" w:rsidRDefault="004C6182" w:rsidP="00C56534">
      <w:pPr>
        <w:tabs>
          <w:tab w:val="left" w:pos="567"/>
        </w:tabs>
        <w:jc w:val="both"/>
        <w:rPr>
          <w:rFonts w:ascii="Book Antiqua" w:hAnsi="Book Antiqua" w:cs="Arial"/>
        </w:rPr>
      </w:pPr>
      <w:r>
        <w:rPr>
          <w:rFonts w:ascii="Book Antiqua" w:hAnsi="Book Antiqua" w:cs="Arial"/>
        </w:rPr>
        <w:t>Home Office letter</w:t>
      </w:r>
      <w:r w:rsidR="00624606">
        <w:rPr>
          <w:rFonts w:ascii="Book Antiqua" w:hAnsi="Book Antiqua" w:cs="Arial"/>
        </w:rPr>
        <w:t xml:space="preserve"> 24 October 2012</w:t>
      </w:r>
    </w:p>
    <w:p w:rsidR="007651B0" w:rsidRPr="007651B0" w:rsidRDefault="00624606" w:rsidP="007651B0">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r>
        <w:rPr>
          <w:rFonts w:ascii="Garamond" w:hAnsi="Garamond" w:cs="Garamond"/>
          <w:color w:val="000000"/>
          <w:sz w:val="23"/>
          <w:szCs w:val="23"/>
        </w:rPr>
        <w:tab/>
      </w:r>
    </w:p>
    <w:p w:rsidR="007651B0" w:rsidRDefault="007651B0" w:rsidP="007651B0">
      <w:pPr>
        <w:autoSpaceDE w:val="0"/>
        <w:autoSpaceDN w:val="0"/>
        <w:adjustRightInd w:val="0"/>
        <w:rPr>
          <w:rFonts w:ascii="Garamond" w:hAnsi="Garamond" w:cs="Garamond"/>
          <w:color w:val="000000"/>
          <w:sz w:val="23"/>
          <w:szCs w:val="23"/>
        </w:rPr>
      </w:pPr>
    </w:p>
    <w:p w:rsidR="007651B0" w:rsidRP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Dear Mr Justice Blake, </w:t>
      </w:r>
    </w:p>
    <w:p w:rsidR="007651B0" w:rsidRDefault="007651B0" w:rsidP="007651B0">
      <w:pPr>
        <w:autoSpaceDE w:val="0"/>
        <w:autoSpaceDN w:val="0"/>
        <w:adjustRightInd w:val="0"/>
        <w:rPr>
          <w:rFonts w:ascii="Garamond" w:hAnsi="Garamond" w:cs="Garamond"/>
          <w:b/>
          <w:bCs/>
          <w:color w:val="000000"/>
          <w:sz w:val="23"/>
          <w:szCs w:val="23"/>
        </w:rPr>
      </w:pPr>
    </w:p>
    <w:p w:rsidR="007651B0" w:rsidRDefault="007651B0" w:rsidP="007651B0">
      <w:pPr>
        <w:autoSpaceDE w:val="0"/>
        <w:autoSpaceDN w:val="0"/>
        <w:adjustRightInd w:val="0"/>
        <w:rPr>
          <w:rFonts w:ascii="Garamond" w:hAnsi="Garamond" w:cs="Garamond"/>
          <w:b/>
          <w:bCs/>
          <w:color w:val="000000"/>
          <w:sz w:val="23"/>
          <w:szCs w:val="23"/>
        </w:rPr>
      </w:pPr>
      <w:r w:rsidRPr="007651B0">
        <w:rPr>
          <w:rFonts w:ascii="Garamond" w:hAnsi="Garamond" w:cs="Garamond"/>
          <w:b/>
          <w:bCs/>
          <w:color w:val="000000"/>
          <w:sz w:val="23"/>
          <w:szCs w:val="23"/>
        </w:rPr>
        <w:t xml:space="preserve">Uchenna Eucharia Izuazu v Secretary of State </w:t>
      </w:r>
      <w:r w:rsidRPr="007651B0">
        <w:rPr>
          <w:rFonts w:ascii="Garamond" w:hAnsi="Garamond" w:cs="Garamond"/>
          <w:color w:val="000000"/>
          <w:sz w:val="23"/>
          <w:szCs w:val="23"/>
        </w:rPr>
        <w:t>(</w:t>
      </w:r>
      <w:r w:rsidRPr="007651B0">
        <w:rPr>
          <w:rFonts w:ascii="Garamond" w:hAnsi="Garamond" w:cs="Garamond"/>
          <w:b/>
          <w:bCs/>
          <w:color w:val="000000"/>
          <w:sz w:val="23"/>
          <w:szCs w:val="23"/>
        </w:rPr>
        <w:t xml:space="preserve">Appeal AA/06877/2012) </w:t>
      </w:r>
    </w:p>
    <w:p w:rsidR="007651B0" w:rsidRPr="007651B0" w:rsidRDefault="007651B0" w:rsidP="007651B0">
      <w:pPr>
        <w:autoSpaceDE w:val="0"/>
        <w:autoSpaceDN w:val="0"/>
        <w:adjustRightInd w:val="0"/>
        <w:rPr>
          <w:rFonts w:ascii="Garamond" w:hAnsi="Garamond" w:cs="Garamond"/>
          <w:color w:val="000000"/>
          <w:sz w:val="23"/>
          <w:szCs w:val="23"/>
        </w:rPr>
      </w:pPr>
    </w:p>
    <w:p w:rsid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On 9 October 2012 you directed that the Secretary of State respond to the following two questions raised in this appeal: </w:t>
      </w:r>
    </w:p>
    <w:p w:rsidR="007651B0" w:rsidRPr="007651B0" w:rsidRDefault="007651B0" w:rsidP="007651B0">
      <w:pPr>
        <w:autoSpaceDE w:val="0"/>
        <w:autoSpaceDN w:val="0"/>
        <w:adjustRightInd w:val="0"/>
        <w:rPr>
          <w:rFonts w:ascii="Garamond" w:hAnsi="Garamond" w:cs="Garamond"/>
          <w:color w:val="000000"/>
          <w:sz w:val="23"/>
          <w:szCs w:val="23"/>
        </w:rPr>
      </w:pPr>
    </w:p>
    <w:p w:rsidR="007651B0" w:rsidRP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b/>
          <w:bCs/>
          <w:color w:val="000000"/>
          <w:sz w:val="23"/>
          <w:szCs w:val="23"/>
        </w:rPr>
        <w:t xml:space="preserve">i. What difference, if any, do the recent changes in the Immigration Rules have on the pre-existing case law of the Supreme Court and higher appellate courts as to the learning on Article 8? If it is contended that the relevant tests for assessing whether an immigration decision interferes unjustifiably with family life have changed, how can rules achieve such a change? </w:t>
      </w:r>
    </w:p>
    <w:p w:rsidR="007651B0" w:rsidRPr="007651B0" w:rsidRDefault="007651B0" w:rsidP="007651B0">
      <w:pPr>
        <w:autoSpaceDE w:val="0"/>
        <w:autoSpaceDN w:val="0"/>
        <w:adjustRightInd w:val="0"/>
        <w:rPr>
          <w:rFonts w:ascii="Garamond" w:hAnsi="Garamond" w:cs="Garamond"/>
          <w:color w:val="000000"/>
          <w:sz w:val="23"/>
          <w:szCs w:val="23"/>
        </w:rPr>
      </w:pPr>
    </w:p>
    <w:p w:rsidR="007651B0" w:rsidRP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Secretary of State’s starting-point is that the Immigration Rules are a statement of her practice in deciding applications. The purpose in including provisions in the rules which reflect Article 8 consideration is to ensure efficiency and consistency and prevent arbitrary decision-making. This is important to applicants and caseworkers and to ensure public confidence in the immigration system. </w:t>
      </w:r>
    </w:p>
    <w:p w:rsidR="007651B0" w:rsidRDefault="007651B0" w:rsidP="007651B0">
      <w:pPr>
        <w:autoSpaceDE w:val="0"/>
        <w:autoSpaceDN w:val="0"/>
        <w:adjustRightInd w:val="0"/>
        <w:rPr>
          <w:rFonts w:ascii="Garamond" w:hAnsi="Garamond" w:cs="Garamond"/>
          <w:color w:val="000000"/>
          <w:sz w:val="23"/>
          <w:szCs w:val="23"/>
        </w:rPr>
      </w:pPr>
    </w:p>
    <w:p w:rsidR="007651B0" w:rsidRP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Secretary of State has carefully considered the broad principles set out in the </w:t>
      </w:r>
      <w:smartTag w:uri="urn:schemas-microsoft-com:office:smarttags" w:element="PlaceType">
        <w:r w:rsidRPr="007651B0">
          <w:rPr>
            <w:rFonts w:ascii="Garamond" w:hAnsi="Garamond" w:cs="Garamond"/>
            <w:color w:val="000000"/>
            <w:sz w:val="23"/>
            <w:szCs w:val="23"/>
          </w:rPr>
          <w:t>Strasbourg</w:t>
        </w:r>
      </w:smartTag>
      <w:r w:rsidRPr="007651B0">
        <w:rPr>
          <w:rFonts w:ascii="Garamond" w:hAnsi="Garamond" w:cs="Garamond"/>
          <w:color w:val="000000"/>
          <w:sz w:val="23"/>
          <w:szCs w:val="23"/>
        </w:rPr>
        <w:t xml:space="preserve"> and domestic case law when formulating the new rules. The new rules properly reflect the right balance, in the great majority of cases, between individual rights and the wider public interest in maintaining immigration control and protecting the public from criminals. This does not mean that the new rules fit exactly with every previous </w:t>
      </w:r>
      <w:smartTag w:uri="urn:schemas-microsoft-com:office:smarttags" w:element="PlaceType">
        <w:r w:rsidRPr="007651B0">
          <w:rPr>
            <w:rFonts w:ascii="Garamond" w:hAnsi="Garamond" w:cs="Garamond"/>
            <w:color w:val="000000"/>
            <w:sz w:val="23"/>
            <w:szCs w:val="23"/>
          </w:rPr>
          <w:t>Strasbourg</w:t>
        </w:r>
      </w:smartTag>
      <w:r w:rsidRPr="007651B0">
        <w:rPr>
          <w:rFonts w:ascii="Garamond" w:hAnsi="Garamond" w:cs="Garamond"/>
          <w:color w:val="000000"/>
          <w:sz w:val="23"/>
          <w:szCs w:val="23"/>
        </w:rPr>
        <w:t xml:space="preserve"> and domestic judgment. Many decisions were fact-specific and they were decided in a policy vacuum. </w:t>
      </w:r>
    </w:p>
    <w:p w:rsidR="007651B0" w:rsidRDefault="007651B0" w:rsidP="007651B0">
      <w:pPr>
        <w:autoSpaceDE w:val="0"/>
        <w:autoSpaceDN w:val="0"/>
        <w:adjustRightInd w:val="0"/>
        <w:rPr>
          <w:rFonts w:ascii="Garamond" w:hAnsi="Garamond" w:cs="Garamond"/>
          <w:color w:val="000000"/>
          <w:sz w:val="23"/>
          <w:szCs w:val="23"/>
        </w:rPr>
      </w:pPr>
    </w:p>
    <w:p w:rsidR="007651B0" w:rsidRDefault="007651B0" w:rsidP="007651B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It is not the Secretary of State’s position that in every case which meets the requirements of the new rules a refusal prior to the new rules would have been a breach of Article 8 (in some cases in order to ensure greater consistency the new rules are more generous than strictly required under the case law), nor that in every case under the new rules a refusal would not be a breach of Article 8. </w:t>
      </w:r>
    </w:p>
    <w:p w:rsidR="00976F70" w:rsidRDefault="00976F70" w:rsidP="007651B0">
      <w:pPr>
        <w:autoSpaceDE w:val="0"/>
        <w:autoSpaceDN w:val="0"/>
        <w:adjustRightInd w:val="0"/>
        <w:rPr>
          <w:rFonts w:ascii="Garamond" w:hAnsi="Garamond" w:cs="Garamond"/>
          <w:color w:val="000000"/>
          <w:sz w:val="23"/>
          <w:szCs w:val="23"/>
        </w:rPr>
      </w:pPr>
    </w:p>
    <w:p w:rsidR="00976F70" w:rsidRDefault="00976F70" w:rsidP="007651B0">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 xml:space="preserve">The </w:t>
      </w:r>
      <w:r w:rsidRPr="007651B0">
        <w:rPr>
          <w:rFonts w:ascii="Garamond" w:hAnsi="Garamond" w:cs="Garamond"/>
          <w:color w:val="000000"/>
          <w:sz w:val="23"/>
          <w:szCs w:val="23"/>
        </w:rPr>
        <w:t>recent changes in the Immigration Rules relating to family and private life do not therefore alter the test set out in Razgar</w:t>
      </w:r>
      <w:r w:rsidRPr="007651B0">
        <w:rPr>
          <w:rFonts w:ascii="Garamond" w:hAnsi="Garamond" w:cs="Garamond"/>
          <w:color w:val="000000"/>
          <w:sz w:val="14"/>
          <w:szCs w:val="14"/>
        </w:rPr>
        <w:t xml:space="preserve">1 </w:t>
      </w:r>
      <w:r w:rsidRPr="007651B0">
        <w:rPr>
          <w:rFonts w:ascii="Garamond" w:hAnsi="Garamond" w:cs="Garamond"/>
          <w:color w:val="000000"/>
          <w:sz w:val="23"/>
          <w:szCs w:val="23"/>
        </w:rPr>
        <w:t>which the Secretary of State accepts are the correct steps to follow when assessing whether an immigration decision interferes unjustifiably with family or private life. However, the new rules represent a significant change in the way the caseworker assesses whether interference in an individual’s family or private life is proportionate to the legitimate public policy objective to be achieved (step 5 of the Razgar test). The case law lists possible relevant factors but leaves it to the decision-maker in an individual case to determine how best to balance the relevant factors, based on that person’s individual perception of public policy considerations. Inevitably, caseworkers and the Courts have had to reach their own view on the public policy imperatives, without a clear statement from the Secretary of State and Parliament on where the public interest lies.</w:t>
      </w:r>
    </w:p>
    <w:p w:rsidR="00E26072" w:rsidRDefault="00E26072" w:rsidP="00976F70">
      <w:pPr>
        <w:autoSpaceDE w:val="0"/>
        <w:autoSpaceDN w:val="0"/>
        <w:adjustRightInd w:val="0"/>
        <w:rPr>
          <w:rFonts w:ascii="Garamond" w:hAnsi="Garamond" w:cs="Garamond"/>
          <w:color w:val="000000"/>
          <w:sz w:val="23"/>
          <w:szCs w:val="23"/>
        </w:rPr>
      </w:pPr>
    </w:p>
    <w:p w:rsidR="00976F70" w:rsidRPr="007651B0" w:rsidRDefault="00976F70" w:rsidP="00976F7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Since the new rules came into force, caseworkers and the Courts no longer operate in a policy vacuum. The facts of the individual case are the starting-point when considering proportionality, but they are the starting-point which then has to be balanced against the public interest as reflected in the new rules. The public interest achieved by applying clear rules must be measured by the effect of the rules across the board, not just in relation to an individual case. </w:t>
      </w:r>
    </w:p>
    <w:p w:rsidR="00976F70" w:rsidRDefault="00976F70" w:rsidP="00976F70">
      <w:pPr>
        <w:autoSpaceDE w:val="0"/>
        <w:autoSpaceDN w:val="0"/>
        <w:adjustRightInd w:val="0"/>
        <w:rPr>
          <w:rFonts w:ascii="Garamond" w:hAnsi="Garamond" w:cs="Garamond"/>
          <w:color w:val="000000"/>
          <w:sz w:val="23"/>
          <w:szCs w:val="23"/>
        </w:rPr>
      </w:pPr>
    </w:p>
    <w:p w:rsidR="00976F70" w:rsidRPr="007651B0" w:rsidRDefault="00976F70" w:rsidP="00976F70">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As the new rules are the Secretary of State’s statement of practice to be applied by her caseworkers it remains for a court or tribunal to determine whether an immigration decision is compatible with Article 8 on the facts of that case. This is clear from the legislation on appeals which states that an appeal must be allowed if the decision was not in accordance with the law. The appellate immigration authority, deciding an appeal, is not reviewing the decision of another decision-maker. It is deciding whether or not it is unlawful to refuse leave to enter or remain, and it is doing so on the basis of up-to-date facts. The need for the authority to have regard to the rules and public policy consideration, now clearly expressed by the Secretary of State in the new rules, is supported by Huang</w:t>
      </w:r>
      <w:r w:rsidRPr="007651B0">
        <w:rPr>
          <w:rFonts w:ascii="Garamond" w:hAnsi="Garamond" w:cs="Garamond"/>
          <w:color w:val="000000"/>
          <w:sz w:val="14"/>
          <w:szCs w:val="14"/>
        </w:rPr>
        <w:t xml:space="preserve">2 </w:t>
      </w:r>
      <w:r w:rsidRPr="007651B0">
        <w:rPr>
          <w:rFonts w:ascii="Garamond" w:hAnsi="Garamond" w:cs="Garamond"/>
          <w:color w:val="000000"/>
          <w:sz w:val="23"/>
          <w:szCs w:val="23"/>
        </w:rPr>
        <w:t xml:space="preserve">– </w:t>
      </w:r>
    </w:p>
    <w:p w:rsidR="00E26072" w:rsidRDefault="00E26072" w:rsidP="00976F70">
      <w:pPr>
        <w:autoSpaceDE w:val="0"/>
        <w:autoSpaceDN w:val="0"/>
        <w:adjustRightInd w:val="0"/>
        <w:rPr>
          <w:rFonts w:ascii="Garamond" w:hAnsi="Garamond" w:cs="Garamond"/>
          <w:color w:val="000000"/>
          <w:sz w:val="23"/>
          <w:szCs w:val="23"/>
        </w:rPr>
      </w:pPr>
    </w:p>
    <w:p w:rsidR="00976F70" w:rsidRPr="007651B0" w:rsidRDefault="00976F70" w:rsidP="00E26072">
      <w:pPr>
        <w:autoSpaceDE w:val="0"/>
        <w:autoSpaceDN w:val="0"/>
        <w:adjustRightInd w:val="0"/>
        <w:ind w:left="567"/>
        <w:rPr>
          <w:rFonts w:ascii="Garamond" w:hAnsi="Garamond" w:cs="Garamond"/>
          <w:color w:val="000000"/>
          <w:sz w:val="23"/>
          <w:szCs w:val="23"/>
        </w:rPr>
      </w:pPr>
      <w:r w:rsidRPr="007651B0">
        <w:rPr>
          <w:rFonts w:ascii="Garamond" w:hAnsi="Garamond" w:cs="Garamond"/>
          <w:color w:val="000000"/>
          <w:sz w:val="23"/>
          <w:szCs w:val="23"/>
        </w:rPr>
        <w:t xml:space="preserve">“...the general administrative desirability of applying known rules if a system of immigration control is o be workable, predictable, consistent and fair as between one applicant and another; the damage to good administration and effective control if a system is perceived by applicants internationally to be unduly porous, unpredictable or perfunctory; the need to discourage non-nationals admitted to the country temporarily from believing they can commit serious crimes and yet be allowed to remain; the need to discourage fraud, deception and deliberate breaches of the law; and so on.” </w:t>
      </w:r>
    </w:p>
    <w:p w:rsidR="00976F70" w:rsidRDefault="00976F70" w:rsidP="007651B0">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However, while the rules do not bind the Courts in the same way as primary legislation, they are a clear, democratically endorsed, statement of public policy which must now be taken into account by the Courts when assessing proportionality. The Secretary of State would expect the Courts to defer to the view endorsed by Parliament on how, broadly, public policy considerations are weighed against individual family and private life rights, when assessing Article 8 in any individual case. That is, save in a narrow group of cases where it is found that the consequences of the immigration decision are exceptional (discussed in section iii. of this letter). </w:t>
      </w:r>
    </w:p>
    <w:p w:rsidR="00E26072" w:rsidRDefault="00E26072" w:rsidP="00E26072">
      <w:pPr>
        <w:autoSpaceDE w:val="0"/>
        <w:autoSpaceDN w:val="0"/>
        <w:adjustRightInd w:val="0"/>
        <w:rPr>
          <w:rFonts w:ascii="Garamond" w:hAnsi="Garamond" w:cs="Garamond"/>
          <w:color w:val="000000"/>
          <w:sz w:val="23"/>
          <w:szCs w:val="23"/>
        </w:rPr>
      </w:pPr>
    </w:p>
    <w:p w:rsidR="005A0405" w:rsidRDefault="00E26072" w:rsidP="005A0405">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In summary, the Government can interfere in the exercise of Article 8 rights where in the public interest it is necessary and proportionate to do so, including to safeguard the UK’s economic well-being by controlling immigration and to protect the public, by deterring foreign criminals and by removing them from the UK. Following the recent changes, the new rules now properly reflect the view of the Government and Parliament as to how the balance should be struck between that public interest and individuals’ rights under Article 8. The Government expects the Courts to have regard to that view in reaching their decisions. </w:t>
      </w:r>
    </w:p>
    <w:p w:rsidR="005A0405" w:rsidRDefault="005A0405" w:rsidP="005A0405">
      <w:pPr>
        <w:autoSpaceDE w:val="0"/>
        <w:autoSpaceDN w:val="0"/>
        <w:adjustRightInd w:val="0"/>
        <w:rPr>
          <w:rFonts w:ascii="Garamond" w:hAnsi="Garamond" w:cs="Garamond"/>
          <w:color w:val="000000"/>
          <w:sz w:val="23"/>
          <w:szCs w:val="23"/>
        </w:rPr>
      </w:pPr>
    </w:p>
    <w:p w:rsidR="00E26072" w:rsidRPr="007651B0" w:rsidRDefault="00E26072" w:rsidP="005A0405">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Secretary of State makes the following supplementary points: </w:t>
      </w:r>
    </w:p>
    <w:p w:rsidR="00E26072" w:rsidRDefault="00E26072" w:rsidP="00E26072">
      <w:pPr>
        <w:autoSpaceDE w:val="0"/>
        <w:autoSpaceDN w:val="0"/>
        <w:adjustRightInd w:val="0"/>
        <w:rPr>
          <w:rFonts w:ascii="Garamond" w:hAnsi="Garamond" w:cs="Garamond"/>
          <w:color w:val="000000"/>
          <w:sz w:val="23"/>
          <w:szCs w:val="23"/>
        </w:rPr>
      </w:pPr>
    </w:p>
    <w:p w:rsidR="00976F7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(a) Controlling immigration in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’s economic interests and protecting the public are matters of public policy which it is the responsibility of the Government to determine, subject to the views of Parliament. The Immigration Rules, laid before Parliament by the Secretary of State under section 3(2) of the Immigration Act 1971, are a vehicle for the detailed expression of that policy. They are a statement of the normal practice to be followed by the Secretary of State’s caseworkers in making immigration decisions under the statutory framework that Parliament has provided. It is in the interests of a clear, consistent and transparent immigration system, in which applicants and the public can have confidence, that these rules should enable the Secretary of State’s caseworkers to decide individual cases lawfully and in accordance with the Government’s immigration policy</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(b) When the Human Rights Act 1998 was commenced in 2000, no attempt was made to reflect the detailed implications of this in the Immigration Rules. In particular, the rules were amended, in paragraph 2, to require all Home Office staff to carry out their duties in compliance with the provisions of the Human Rights Act, but there was no substantive change to the family or private life part of the rules to reflect any consideration of proportionality under Article 8 and there was no attempt thereafter to align the rules with developments in case law. Instead, previous Secretaries of State asserted that if a Court thought that the rules produced disproportionate results in a particular case, the Court should itself decide the proportionate outcome on the facts before them rather than hold that the rule itself was incompatible with Article 8.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(c) This approach – which meant that the Courts could not give due weight to the Government’s and Parliament’s view of where the balance should be struck under Article 8 between individual rights and the public interest, as the Courts did not know fully what that view was – was not conducive to clear, consistent and transparent decision-making by the Secretary of State’s caseworkers. It meant that each case was decided by the Courts on its own facts without reference to the role of the Secretary of State as the primary decision-maker. It meant that foreign criminals and those who failed to meet the requirements of the Immigration Rules, and who should not therefore be allowed to come to or remain in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were increasingly able to challenge their decisions in the Courts on the grounds of a breach of Article 8.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(d) This approach did not properly reflect the responsibility of the Government and Parliament for determining the public policy framework under which immigration decisions should be taken. Indeed, it left the Courts to develop public policy themselves through case law on issues such as the appropriate level of maintenance for family migrants. Where Parliament had clearly expressed its views as to the public interest, the Secretary of State noted that the Courts would have regard to that, for example the deportation provisions in the UK Borders Act 2007.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(e) The recent changes to the Immigration Rules relating to family and private life deal with these issues. They fill the public policy vacuum the Government inherited by setting out the position of the Secretary of State on proportionality under Article 8, in the light of existing case law and of evidence such as the report of the independent Migration Advisory Committee on the minimum income threshold for sponsoring family migrants. The new rules state how the balance should be struck between individual rights and the public interest. They provide clear instructions for the Secretary of State’s caseworkers on the approach they must normally take and they therefore provide the basis for a clear, consistent and transparent decision-making process</w:t>
      </w:r>
    </w:p>
    <w:p w:rsidR="00E26072" w:rsidRDefault="00E26072" w:rsidP="007651B0">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(f) The Secretary of State recognises that the Courts have a clear constitutional role in reviewing the proportionality of measures passed by Parliament and of the executive decisions made under them. However, as the Immigration Rules now explicitly take into account the public interest element of an assessment of proportionality under Article 8, the Secretary of State submits that the focus of the Courts when considering individual cases should be on considering proportionality in the light of this clear statement of public policy. The Government expects that the Courts will give effect to the determination of the Government and Parliament on matters of public policy.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(g) Both the new rules and the Secretary of State’s guidance to her caseworkers make clear that the Immigration Rules are the starting-point for decision-making and are not absolute: no set of rules can deal with 100 per cent of cases. However, in light of the new rules, which incorporate the principles set out in the </w:t>
      </w:r>
      <w:smartTag w:uri="urn:schemas-microsoft-com:office:smarttags" w:element="PlaceType">
        <w:r w:rsidRPr="007651B0">
          <w:rPr>
            <w:rFonts w:ascii="Garamond" w:hAnsi="Garamond" w:cs="Garamond"/>
            <w:color w:val="000000"/>
            <w:sz w:val="23"/>
            <w:szCs w:val="23"/>
          </w:rPr>
          <w:t>Strasbourg</w:t>
        </w:r>
      </w:smartTag>
      <w:r w:rsidRPr="007651B0">
        <w:rPr>
          <w:rFonts w:ascii="Garamond" w:hAnsi="Garamond" w:cs="Garamond"/>
          <w:color w:val="000000"/>
          <w:sz w:val="23"/>
          <w:szCs w:val="23"/>
        </w:rPr>
        <w:t xml:space="preserve"> jurisprudence, the Secretary of State submits that only in exceptional cases will a decision made in accordance with the rules lead to a disproportionate outcome.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(h) In bringing forward the recent changes to the Immigration Rules relating to family and private life, the Government has sought to underline the importance of the views of Parliament on the issues of public policy to which the qualified right under Article 8 gives rise. The Government recognises that the procedure to which the Immigration Rules are subject under section 3(2) of the 1971 Act is not of the same order as the process for Parliamentary consideration of primary legislation. For that reason, the Immigration Rules cannot be said to carry the same weight as primary legislation in representing the settled view of Parliament on a matter of public policy. Nevertheless, the Immigration Rules are subject to Parliamentary scrutiny; they can be prayed against and debated in Parliament, as they were in the House of Lords on 23 October 2012; and they can be disapproved by a resolution of either House of Parliament. These procedures provide essential Parliamentary oversight and accountability for the Government’s regulation of entry to and stay in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under the Immigration Rules.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 In the case of these recent rules changes, and within the constraints of the Parliamentary time available to it, the Government has supplemented the statutory procedure under the 1971 Act by tabling a motion inviting the House of Commons to agree that, in the context of the qualified right under Article 8, the conditions for migrants to enter or remain in the UK on the basis of their family or private life should be those contained in the Immigration Rules. The House of Commons debated and unanimously agreed the Government’s motion on 19 June 2012. As Secretary of State set out in opening that debate (Hansard column 763):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ind w:left="567"/>
        <w:rPr>
          <w:rFonts w:ascii="Garamond" w:hAnsi="Garamond" w:cs="Garamond"/>
          <w:color w:val="000000"/>
          <w:sz w:val="23"/>
          <w:szCs w:val="23"/>
        </w:rPr>
      </w:pPr>
      <w:r w:rsidRPr="007651B0">
        <w:rPr>
          <w:rFonts w:ascii="Garamond" w:hAnsi="Garamond" w:cs="Garamond"/>
          <w:color w:val="000000"/>
          <w:sz w:val="23"/>
          <w:szCs w:val="23"/>
        </w:rPr>
        <w:t>“Of course, judges will continue to consider each case on its individual merits, but it is the Courts themselves that have said that Parliament needs to make its views clear. In a case in 2007</w:t>
      </w:r>
      <w:r w:rsidRPr="007651B0">
        <w:rPr>
          <w:rFonts w:ascii="Garamond" w:hAnsi="Garamond" w:cs="Garamond"/>
          <w:color w:val="000000"/>
          <w:sz w:val="14"/>
          <w:szCs w:val="14"/>
        </w:rPr>
        <w:t>3</w:t>
      </w:r>
      <w:r w:rsidRPr="007651B0">
        <w:rPr>
          <w:rFonts w:ascii="Garamond" w:hAnsi="Garamond" w:cs="Garamond"/>
          <w:color w:val="000000"/>
          <w:sz w:val="23"/>
          <w:szCs w:val="23"/>
        </w:rPr>
        <w:t>, the House of Lords said that a statement from Parliament was needed on where the public interest lies in the operation of Article 8 in immigration cases. The Court of Appeal, last year and this year</w:t>
      </w:r>
      <w:r w:rsidRPr="007651B0">
        <w:rPr>
          <w:rFonts w:ascii="Garamond" w:hAnsi="Garamond" w:cs="Garamond"/>
          <w:color w:val="000000"/>
          <w:sz w:val="14"/>
          <w:szCs w:val="14"/>
        </w:rPr>
        <w:t>4</w:t>
      </w:r>
      <w:r w:rsidRPr="007651B0">
        <w:rPr>
          <w:rFonts w:ascii="Garamond" w:hAnsi="Garamond" w:cs="Garamond"/>
          <w:color w:val="000000"/>
          <w:sz w:val="23"/>
          <w:szCs w:val="23"/>
        </w:rPr>
        <w:t xml:space="preserve">, has indicated that greater weight is to be given to the public interest when that has been endorsed by Parliament. Today’s motion provides the Courts with the statement and the endorsement from Parliament that they have said is needed. The Courts should then give that statement from the elected legislature the weight that it deserves”. </w:t>
      </w:r>
    </w:p>
    <w:p w:rsidR="00E26072" w:rsidRDefault="00E26072" w:rsidP="007651B0">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b/>
          <w:bCs/>
          <w:color w:val="000000"/>
          <w:sz w:val="23"/>
          <w:szCs w:val="23"/>
        </w:rPr>
        <w:t xml:space="preserve">ii. Does the UKBA continue to accept that it is not reasonable to expect a British citizen party to genuine family life in the UK to relocate permanently abroad (paras 93 to 95 of Sanade and others [2012] UKUT IAC)? If not, why not and how is it compatible with Dereci to require an EU citizen to live outside the EU?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It was held in Dereci that EU law – </w:t>
      </w:r>
    </w:p>
    <w:p w:rsidR="00E26072" w:rsidRPr="007651B0" w:rsidRDefault="00E26072" w:rsidP="00E26072">
      <w:pPr>
        <w:autoSpaceDE w:val="0"/>
        <w:autoSpaceDN w:val="0"/>
        <w:adjustRightInd w:val="0"/>
        <w:ind w:left="567"/>
        <w:rPr>
          <w:rFonts w:ascii="Garamond" w:hAnsi="Garamond" w:cs="Garamond"/>
          <w:color w:val="000000"/>
          <w:sz w:val="23"/>
          <w:szCs w:val="23"/>
        </w:rPr>
      </w:pPr>
      <w:r w:rsidRPr="007651B0">
        <w:rPr>
          <w:rFonts w:ascii="Garamond" w:hAnsi="Garamond" w:cs="Garamond"/>
          <w:color w:val="000000"/>
          <w:sz w:val="23"/>
          <w:szCs w:val="23"/>
        </w:rPr>
        <w:t xml:space="preserve">“does not preclude a Member State from refusing to allow a third country national to reside on its territory, where that third country national wishes to reside with a member of his family who is a citizen of the Union residing in the Member State of which he has nationality, who has never exercised his right to freedom of movement, provided that such refusal does not lead, for the Union citizen concerned, to the denial of the genuine enjoyment of the substance of the rights conferred by virtue of his status as a citizen of the Union...”, </w:t>
      </w:r>
    </w:p>
    <w:p w:rsidR="00E26072"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Court was aware of the need for Member States to consider Article 8 issues even where a third country national does not qualify to remain under EU law. </w:t>
      </w: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Secretary of State continues to accept that where the primary carer of a British citizen is denied a Zambrano right of residence </w:t>
      </w:r>
      <w:r w:rsidRPr="007651B0">
        <w:rPr>
          <w:rFonts w:ascii="Garamond" w:hAnsi="Garamond" w:cs="Garamond"/>
          <w:i/>
          <w:iCs/>
          <w:color w:val="000000"/>
          <w:sz w:val="23"/>
          <w:szCs w:val="23"/>
        </w:rPr>
        <w:t>on the basis that his or her removal or deportation would not force the British citizen to leave the EU</w:t>
      </w:r>
      <w:r w:rsidRPr="007651B0">
        <w:rPr>
          <w:rFonts w:ascii="Garamond" w:hAnsi="Garamond" w:cs="Garamond"/>
          <w:color w:val="000000"/>
          <w:sz w:val="23"/>
          <w:szCs w:val="23"/>
        </w:rPr>
        <w:t xml:space="preserve">, it will not logically be possible when considering any Article 8 claim made by such a person to determine their claim on the basis that the family (including the British citizen) can relocate together to a place outside the EU. However, the Secretary of State does not accept that it follows that there will be no circumstances in which a decision taken in respect of the primary carer of a British citizen can require that British citizen to leave the UK. The Secretary of State does not consider that the UK Border Agency letter sent to the Tribunal in Sanade suggested that she did accept that it is </w:t>
      </w:r>
      <w:r w:rsidRPr="007651B0">
        <w:rPr>
          <w:rFonts w:ascii="Garamond" w:hAnsi="Garamond" w:cs="Garamond"/>
          <w:i/>
          <w:iCs/>
          <w:color w:val="000000"/>
          <w:sz w:val="23"/>
          <w:szCs w:val="23"/>
        </w:rPr>
        <w:t xml:space="preserve">never </w:t>
      </w:r>
      <w:r w:rsidRPr="007651B0">
        <w:rPr>
          <w:rFonts w:ascii="Garamond" w:hAnsi="Garamond" w:cs="Garamond"/>
          <w:color w:val="000000"/>
          <w:sz w:val="23"/>
          <w:szCs w:val="23"/>
        </w:rPr>
        <w:t>reasonable to expect a British citizen party to genuine family life in the UK to relocate permanently abroad but apologises for any lack of clarity in the correspondence which may have caused the Tribunal to reach this conclusion</w:t>
      </w:r>
    </w:p>
    <w:p w:rsidR="00E26072" w:rsidRDefault="00E26072" w:rsidP="007651B0">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The Secretary of State makes the following points in relation to these issues: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(a) It is clear that the effect of Zambrano (as clarified by the subsequent decision of the ECJ in Dereci) is that a Member State cannot deny the primary carer of an EU citizen a right of residence where to do so would force the EU citizen to leave the EU because they are unable to remain in the EU without the support of their primary carer. A decision to remove or deport a primary carer to another </w:t>
      </w:r>
      <w:smartTag w:uri="urn:schemas-microsoft-com:office:smarttags" w:element="PlaceType">
        <w:r w:rsidRPr="007651B0">
          <w:rPr>
            <w:rFonts w:ascii="Garamond" w:hAnsi="Garamond" w:cs="Garamond"/>
            <w:color w:val="000000"/>
            <w:sz w:val="23"/>
            <w:szCs w:val="23"/>
          </w:rPr>
          <w:t>Member</w:t>
        </w:r>
      </w:smartTag>
      <w:r w:rsidRPr="007651B0">
        <w:rPr>
          <w:rFonts w:ascii="Garamond" w:hAnsi="Garamond" w:cs="Garamond"/>
          <w:color w:val="000000"/>
          <w:sz w:val="23"/>
          <w:szCs w:val="23"/>
        </w:rPr>
        <w:t xml:space="preserve"> </w:t>
      </w:r>
      <w:smartTag w:uri="urn:schemas-microsoft-com:office:smarttags" w:element="PlaceType">
        <w:r w:rsidRPr="007651B0">
          <w:rPr>
            <w:rFonts w:ascii="Garamond" w:hAnsi="Garamond" w:cs="Garamond"/>
            <w:color w:val="000000"/>
            <w:sz w:val="23"/>
            <w:szCs w:val="23"/>
          </w:rPr>
          <w:t>State</w:t>
        </w:r>
      </w:smartTag>
      <w:r w:rsidRPr="007651B0">
        <w:rPr>
          <w:rFonts w:ascii="Garamond" w:hAnsi="Garamond" w:cs="Garamond"/>
          <w:color w:val="000000"/>
          <w:sz w:val="23"/>
          <w:szCs w:val="23"/>
        </w:rPr>
        <w:t xml:space="preserve"> would therefore be compatible with the Zambrano judgment even if that decision forced a British citizen to relocate to that </w:t>
      </w:r>
      <w:smartTag w:uri="urn:schemas-microsoft-com:office:smarttags" w:element="PlaceType">
        <w:smartTag w:uri="urn:schemas-microsoft-com:office:smarttags" w:element="PlaceType">
          <w:r w:rsidRPr="007651B0">
            <w:rPr>
              <w:rFonts w:ascii="Garamond" w:hAnsi="Garamond" w:cs="Garamond"/>
              <w:color w:val="000000"/>
              <w:sz w:val="23"/>
              <w:szCs w:val="23"/>
            </w:rPr>
            <w:t>Member</w:t>
          </w:r>
        </w:smartTag>
        <w:r w:rsidRPr="007651B0">
          <w:rPr>
            <w:rFonts w:ascii="Garamond" w:hAnsi="Garamond" w:cs="Garamond"/>
            <w:color w:val="000000"/>
            <w:sz w:val="23"/>
            <w:szCs w:val="23"/>
          </w:rPr>
          <w:t xml:space="preserve"> </w:t>
        </w:r>
        <w:smartTag w:uri="urn:schemas-microsoft-com:office:smarttags" w:element="PlaceType">
          <w:r w:rsidRPr="007651B0">
            <w:rPr>
              <w:rFonts w:ascii="Garamond" w:hAnsi="Garamond" w:cs="Garamond"/>
              <w:color w:val="000000"/>
              <w:sz w:val="23"/>
              <w:szCs w:val="23"/>
            </w:rPr>
            <w:t>State</w:t>
          </w:r>
        </w:smartTag>
      </w:smartTag>
      <w:r w:rsidRPr="007651B0">
        <w:rPr>
          <w:rFonts w:ascii="Garamond" w:hAnsi="Garamond" w:cs="Garamond"/>
          <w:color w:val="000000"/>
          <w:sz w:val="23"/>
          <w:szCs w:val="23"/>
        </w:rPr>
        <w:t xml:space="preserve">. It is therefore not the case that any decision which has the effect of forcing a British citizen to leave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is incompatible with the judgment in Zambrano.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(b) It is the Secretary of State’s position that the proposition in Zambrano cannot sensibly be read as imposing a complete bar to the deportation or removal of the primary carer of an EU citizen in circumstances in which that decision would force the EU citizen to leave the EU. Such a proposition would suggest that irrespective of the severity of the threat to public policy posed by such a person, the </w:t>
      </w:r>
      <w:smartTag w:uri="urn:schemas-microsoft-com:office:smarttags" w:element="PlaceType">
        <w:smartTag w:uri="urn:schemas-microsoft-com:office:smarttags" w:element="PlaceType">
          <w:r w:rsidRPr="007651B0">
            <w:rPr>
              <w:rFonts w:ascii="Garamond" w:hAnsi="Garamond" w:cs="Garamond"/>
              <w:color w:val="000000"/>
              <w:sz w:val="23"/>
              <w:szCs w:val="23"/>
            </w:rPr>
            <w:t>Member</w:t>
          </w:r>
        </w:smartTag>
        <w:r w:rsidRPr="007651B0">
          <w:rPr>
            <w:rFonts w:ascii="Garamond" w:hAnsi="Garamond" w:cs="Garamond"/>
            <w:color w:val="000000"/>
            <w:sz w:val="23"/>
            <w:szCs w:val="23"/>
          </w:rPr>
          <w:t xml:space="preserve"> </w:t>
        </w:r>
        <w:smartTag w:uri="urn:schemas-microsoft-com:office:smarttags" w:element="PlaceType">
          <w:r w:rsidRPr="007651B0">
            <w:rPr>
              <w:rFonts w:ascii="Garamond" w:hAnsi="Garamond" w:cs="Garamond"/>
              <w:color w:val="000000"/>
              <w:sz w:val="23"/>
              <w:szCs w:val="23"/>
            </w:rPr>
            <w:t>State</w:t>
          </w:r>
        </w:smartTag>
      </w:smartTag>
      <w:r w:rsidRPr="007651B0">
        <w:rPr>
          <w:rFonts w:ascii="Garamond" w:hAnsi="Garamond" w:cs="Garamond"/>
          <w:color w:val="000000"/>
          <w:sz w:val="23"/>
          <w:szCs w:val="23"/>
        </w:rPr>
        <w:t xml:space="preserve"> in question would be powerless to take any action to remove or deport them. This is not a proposition which the Secretary of State accepts and is difficult to reconcile with the fact that even the rights conferred directly by the Treaties are subject to limitation on public policy grounds.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(c) The Secretary of State therefore submits that Member States must be entitled to refuse to recognise Zambrano rights in cases where the primary carer in question can be deported under the domestic law of the relevant </w:t>
      </w:r>
      <w:smartTag w:uri="urn:schemas-microsoft-com:office:smarttags" w:element="PlaceType">
        <w:smartTag w:uri="urn:schemas-microsoft-com:office:smarttags" w:element="PlaceType">
          <w:r w:rsidRPr="007651B0">
            <w:rPr>
              <w:rFonts w:ascii="Garamond" w:hAnsi="Garamond" w:cs="Garamond"/>
              <w:color w:val="000000"/>
              <w:sz w:val="23"/>
              <w:szCs w:val="23"/>
            </w:rPr>
            <w:t>Member</w:t>
          </w:r>
        </w:smartTag>
        <w:r w:rsidRPr="007651B0">
          <w:rPr>
            <w:rFonts w:ascii="Garamond" w:hAnsi="Garamond" w:cs="Garamond"/>
            <w:color w:val="000000"/>
            <w:sz w:val="23"/>
            <w:szCs w:val="23"/>
          </w:rPr>
          <w:t xml:space="preserve"> </w:t>
        </w:r>
        <w:smartTag w:uri="urn:schemas-microsoft-com:office:smarttags" w:element="PlaceType">
          <w:r w:rsidRPr="007651B0">
            <w:rPr>
              <w:rFonts w:ascii="Garamond" w:hAnsi="Garamond" w:cs="Garamond"/>
              <w:color w:val="000000"/>
              <w:sz w:val="23"/>
              <w:szCs w:val="23"/>
            </w:rPr>
            <w:t>State</w:t>
          </w:r>
        </w:smartTag>
      </w:smartTag>
      <w:r w:rsidRPr="007651B0">
        <w:rPr>
          <w:rFonts w:ascii="Garamond" w:hAnsi="Garamond" w:cs="Garamond"/>
          <w:color w:val="000000"/>
          <w:sz w:val="23"/>
          <w:szCs w:val="23"/>
        </w:rPr>
        <w:t xml:space="preserve">. In such cases there would therefore also be the prospect of an EU citizen being required to leave the EU. This position is now reflected in the Immigration (European Economic Area) Regulations 2006 following their amendment by the Immigration (European Economic Area) (Amendment) (No. 2) Regulations 2012.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(d) Dereci did not extend the rights of a family member of an EU citizen who has never exercised their free movement rights to put that family member on a par with the family member of an EU national who is exercising free movement rights. A person’s status as an EU citizen allows them to be joined by their family members who do not benefit from EU law rights only in accordance with the domestic law of their </w:t>
      </w:r>
      <w:smartTag w:uri="urn:schemas-microsoft-com:office:smarttags" w:element="PlaceType">
        <w:smartTag w:uri="urn:schemas-microsoft-com:office:smarttags" w:element="PlaceType">
          <w:r w:rsidRPr="007651B0">
            <w:rPr>
              <w:rFonts w:ascii="Garamond" w:hAnsi="Garamond" w:cs="Garamond"/>
              <w:color w:val="000000"/>
              <w:sz w:val="23"/>
              <w:szCs w:val="23"/>
            </w:rPr>
            <w:t>Member</w:t>
          </w:r>
        </w:smartTag>
        <w:r w:rsidRPr="007651B0">
          <w:rPr>
            <w:rFonts w:ascii="Garamond" w:hAnsi="Garamond" w:cs="Garamond"/>
            <w:color w:val="000000"/>
            <w:sz w:val="23"/>
            <w:szCs w:val="23"/>
          </w:rPr>
          <w:t xml:space="preserve"> </w:t>
        </w:r>
        <w:smartTag w:uri="urn:schemas-microsoft-com:office:smarttags" w:element="PlaceType">
          <w:r w:rsidRPr="007651B0">
            <w:rPr>
              <w:rFonts w:ascii="Garamond" w:hAnsi="Garamond" w:cs="Garamond"/>
              <w:color w:val="000000"/>
              <w:sz w:val="23"/>
              <w:szCs w:val="23"/>
            </w:rPr>
            <w:t>State</w:t>
          </w:r>
        </w:smartTag>
      </w:smartTag>
      <w:r w:rsidRPr="007651B0">
        <w:rPr>
          <w:rFonts w:ascii="Garamond" w:hAnsi="Garamond" w:cs="Garamond"/>
          <w:color w:val="000000"/>
          <w:sz w:val="23"/>
          <w:szCs w:val="23"/>
        </w:rPr>
        <w:t xml:space="preserve"> and having proper regard to their rights under Article 8. Therefore, it does not add to the consideration of the new rules and Article 8 already required. </w:t>
      </w:r>
    </w:p>
    <w:p w:rsidR="00E26072" w:rsidRDefault="00E26072" w:rsidP="007651B0">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b/>
          <w:bCs/>
          <w:color w:val="000000"/>
          <w:sz w:val="23"/>
          <w:szCs w:val="23"/>
        </w:rPr>
        <w:t xml:space="preserve">iii. Your letter of 9 October invited the claimant to respond to the following question: </w:t>
      </w: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b/>
          <w:bCs/>
          <w:color w:val="000000"/>
          <w:sz w:val="23"/>
          <w:szCs w:val="23"/>
        </w:rPr>
        <w:t xml:space="preserve">Now that the rules make express provision for Article 8 claims to remain, is it accepted that the circumstances whereby a person who fails under the rules but may succeed under the law relating to Article 8 will be narrower and will be exceptional having regard to the new criteria? If not, why not? </w:t>
      </w: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If it is helpful to the Tribunal, the Secretary of State, in answering this question in the affirmative, would submit that “exceptional” does not equate here to “unusual”. Instead, “exceptional” should mean </w:t>
      </w: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circumstances in which refusal of an Article 8 claim on the basis that the requirements of the new Immigration Rules were not met would result in an unjustifiably harsh outcome for the claimant. </w:t>
      </w:r>
    </w:p>
    <w:p w:rsidR="00E26072" w:rsidRPr="007651B0" w:rsidRDefault="00E26072" w:rsidP="00E26072">
      <w:pPr>
        <w:autoSpaceDE w:val="0"/>
        <w:autoSpaceDN w:val="0"/>
        <w:adjustRightInd w:val="0"/>
        <w:rPr>
          <w:rFonts w:ascii="Garamond" w:hAnsi="Garamond" w:cs="Garamond"/>
          <w:color w:val="000000"/>
          <w:sz w:val="14"/>
          <w:szCs w:val="14"/>
        </w:rPr>
      </w:pPr>
      <w:r w:rsidRPr="007651B0">
        <w:rPr>
          <w:rFonts w:ascii="Garamond" w:hAnsi="Garamond" w:cs="Garamond"/>
          <w:color w:val="000000"/>
          <w:sz w:val="23"/>
          <w:szCs w:val="23"/>
        </w:rPr>
        <w:t>The Secretary of State’s view on this point is informed by the Supreme Court’s assessment of the proper operation of Article 8 in the context of extradition proceedings.</w:t>
      </w:r>
      <w:r w:rsidRPr="007651B0">
        <w:rPr>
          <w:rFonts w:ascii="Garamond" w:hAnsi="Garamond" w:cs="Garamond"/>
          <w:color w:val="000000"/>
          <w:sz w:val="14"/>
          <w:szCs w:val="14"/>
        </w:rPr>
        <w:t xml:space="preserve">5 </w:t>
      </w:r>
    </w:p>
    <w:p w:rsidR="00E26072"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As Lady Hale commented at paragraph 32 of that judgment: </w:t>
      </w:r>
    </w:p>
    <w:p w:rsidR="00E26072" w:rsidRDefault="00E26072" w:rsidP="00E26072">
      <w:pPr>
        <w:autoSpaceDE w:val="0"/>
        <w:autoSpaceDN w:val="0"/>
        <w:adjustRightInd w:val="0"/>
        <w:rPr>
          <w:rFonts w:ascii="Garamond" w:hAnsi="Garamond" w:cs="Garamond"/>
          <w:color w:val="000000"/>
          <w:sz w:val="23"/>
          <w:szCs w:val="23"/>
        </w:rPr>
      </w:pPr>
    </w:p>
    <w:p w:rsidR="005A0405" w:rsidRDefault="00E26072" w:rsidP="00AB5683">
      <w:pPr>
        <w:autoSpaceDE w:val="0"/>
        <w:autoSpaceDN w:val="0"/>
        <w:adjustRightInd w:val="0"/>
        <w:ind w:left="567"/>
        <w:rPr>
          <w:rFonts w:ascii="Garamond" w:hAnsi="Garamond" w:cs="Garamond"/>
          <w:color w:val="000000"/>
          <w:sz w:val="23"/>
          <w:szCs w:val="23"/>
        </w:rPr>
      </w:pPr>
      <w:r w:rsidRPr="007651B0">
        <w:rPr>
          <w:rFonts w:ascii="Garamond" w:hAnsi="Garamond" w:cs="Garamond"/>
          <w:color w:val="000000"/>
          <w:sz w:val="23"/>
          <w:szCs w:val="23"/>
        </w:rPr>
        <w:t xml:space="preserve">“32. The second main criticism of the approach in later cases is that the courts have </w:t>
      </w:r>
      <w:r w:rsidRPr="007651B0">
        <w:rPr>
          <w:rFonts w:ascii="Garamond" w:hAnsi="Garamond" w:cs="Garamond"/>
          <w:i/>
          <w:iCs/>
          <w:color w:val="000000"/>
          <w:sz w:val="23"/>
          <w:szCs w:val="23"/>
        </w:rPr>
        <w:t xml:space="preserve">not </w:t>
      </w:r>
      <w:r w:rsidRPr="007651B0">
        <w:rPr>
          <w:rFonts w:ascii="Garamond" w:hAnsi="Garamond" w:cs="Garamond"/>
          <w:color w:val="000000"/>
          <w:sz w:val="23"/>
          <w:szCs w:val="23"/>
        </w:rPr>
        <w:t xml:space="preserve">been examining carefully the nature and extent of the interference in family life. In focussing on "some quite exceptionally compelling feature" (para 56 in </w:t>
      </w:r>
      <w:r w:rsidRPr="007651B0">
        <w:rPr>
          <w:rFonts w:ascii="Garamond" w:hAnsi="Garamond" w:cs="Garamond"/>
          <w:i/>
          <w:iCs/>
          <w:color w:val="000000"/>
          <w:sz w:val="23"/>
          <w:szCs w:val="23"/>
        </w:rPr>
        <w:t>Norris</w:t>
      </w:r>
      <w:r w:rsidRPr="007651B0">
        <w:rPr>
          <w:rFonts w:ascii="Garamond" w:hAnsi="Garamond" w:cs="Garamond"/>
          <w:color w:val="000000"/>
          <w:sz w:val="23"/>
          <w:szCs w:val="23"/>
        </w:rPr>
        <w:t xml:space="preserve">), they have fallen into the trap identified by Lord Mance, tending "to divert attention from consideration of the potential impact of extradition on the particular persons involved ...towards a search for factors (particularly </w:t>
      </w:r>
      <w:r w:rsidRPr="007651B0">
        <w:rPr>
          <w:rFonts w:ascii="Garamond" w:hAnsi="Garamond" w:cs="Garamond"/>
          <w:i/>
          <w:iCs/>
          <w:color w:val="000000"/>
          <w:sz w:val="23"/>
          <w:szCs w:val="23"/>
        </w:rPr>
        <w:t xml:space="preserve">external </w:t>
      </w:r>
      <w:r w:rsidRPr="007651B0">
        <w:rPr>
          <w:rFonts w:ascii="Garamond" w:hAnsi="Garamond" w:cs="Garamond"/>
          <w:color w:val="000000"/>
          <w:sz w:val="23"/>
          <w:szCs w:val="23"/>
        </w:rPr>
        <w:t xml:space="preserve">factors) which can be regarded as out of the run of the mill" (para 109). Some particularly grave consequences are not out of the run of the mill at all. Once again, the test is always whether the gravity of the interference with family life is justified by the gravity of the public interest pursued (see also Lord Wilson, at para 152). Exceptionality is a prediction, just as it was in R (Razgar) v Secretary of State for the Home </w:t>
      </w:r>
      <w:r w:rsidR="005A0405">
        <w:rPr>
          <w:rFonts w:ascii="Garamond" w:hAnsi="Garamond" w:cs="Garamond"/>
          <w:color w:val="000000"/>
          <w:sz w:val="23"/>
          <w:szCs w:val="23"/>
        </w:rPr>
        <w:t>D</w:t>
      </w:r>
      <w:r w:rsidRPr="007651B0">
        <w:rPr>
          <w:rFonts w:ascii="Garamond" w:hAnsi="Garamond" w:cs="Garamond"/>
          <w:color w:val="000000"/>
          <w:sz w:val="23"/>
          <w:szCs w:val="23"/>
        </w:rPr>
        <w:t xml:space="preserve">epartment [2004] UKHL 27, [2004] 2 AC 368, and not a test. We are all agreed upon that”. </w:t>
      </w:r>
      <w:r w:rsidR="00AB5683">
        <w:rPr>
          <w:rFonts w:ascii="Garamond" w:hAnsi="Garamond" w:cs="Garamond"/>
          <w:color w:val="000000"/>
          <w:sz w:val="23"/>
          <w:szCs w:val="23"/>
        </w:rPr>
        <w:t xml:space="preserve"> </w:t>
      </w:r>
    </w:p>
    <w:p w:rsidR="00E26072" w:rsidRDefault="00E26072" w:rsidP="00E26072">
      <w:pPr>
        <w:pageBreakBefore/>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In considering, in the light of this judgment, the operation of Article 8 in the immigration case now before the Tribunal, the Secretary of State would submit that there are no exceptionally serious consequences for this claimant to outweigh the clear public interest in her removal from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She is a serious immigration offender. She should expect to be removed from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The public interest in effective immigration control reflected in the new Immigration Rules requires that she be refused leave to remain in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The Secretary of State submits that there is nothing to prevent the claimant and her husband continuing their family life together outside the </w:t>
      </w:r>
      <w:smartTag w:uri="urn:schemas-microsoft-com:office:smarttags" w:element="PlaceType">
        <w:r w:rsidRPr="007651B0">
          <w:rPr>
            <w:rFonts w:ascii="Garamond" w:hAnsi="Garamond" w:cs="Garamond"/>
            <w:color w:val="000000"/>
            <w:sz w:val="23"/>
            <w:szCs w:val="23"/>
          </w:rPr>
          <w:t>UK</w:t>
        </w:r>
      </w:smartTag>
      <w:r w:rsidRPr="007651B0">
        <w:rPr>
          <w:rFonts w:ascii="Garamond" w:hAnsi="Garamond" w:cs="Garamond"/>
          <w:color w:val="000000"/>
          <w:sz w:val="23"/>
          <w:szCs w:val="23"/>
        </w:rPr>
        <w:t xml:space="preserve">. And, if the consequences for her and/or her husband of relocating to </w:t>
      </w:r>
      <w:smartTag w:uri="urn:schemas-microsoft-com:office:smarttags" w:element="PlaceType">
        <w:r w:rsidRPr="007651B0">
          <w:rPr>
            <w:rFonts w:ascii="Garamond" w:hAnsi="Garamond" w:cs="Garamond"/>
            <w:color w:val="000000"/>
            <w:sz w:val="23"/>
            <w:szCs w:val="23"/>
          </w:rPr>
          <w:t>Nigeria</w:t>
        </w:r>
      </w:smartTag>
      <w:r w:rsidRPr="007651B0">
        <w:rPr>
          <w:rFonts w:ascii="Garamond" w:hAnsi="Garamond" w:cs="Garamond"/>
          <w:color w:val="000000"/>
          <w:sz w:val="23"/>
          <w:szCs w:val="23"/>
        </w:rPr>
        <w:t xml:space="preserve"> are harsh, which the Secretary of State does not accept, then those consequences are justified by that clear public interest</w:t>
      </w: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Yours sincerely, </w:t>
      </w:r>
    </w:p>
    <w:p w:rsidR="00E26072" w:rsidRPr="007651B0" w:rsidRDefault="00E26072" w:rsidP="00E26072">
      <w:pPr>
        <w:autoSpaceDE w:val="0"/>
        <w:autoSpaceDN w:val="0"/>
        <w:adjustRightInd w:val="0"/>
        <w:rPr>
          <w:rFonts w:ascii="Garamond" w:hAnsi="Garamond" w:cs="Garamond"/>
          <w:color w:val="000000"/>
          <w:sz w:val="18"/>
          <w:szCs w:val="18"/>
        </w:rPr>
      </w:pPr>
    </w:p>
    <w:p w:rsidR="00E26072"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p>
    <w:p w:rsidR="00E26072" w:rsidRPr="007651B0" w:rsidRDefault="00E26072" w:rsidP="00E26072">
      <w:pPr>
        <w:autoSpaceDE w:val="0"/>
        <w:autoSpaceDN w:val="0"/>
        <w:adjustRightInd w:val="0"/>
        <w:rPr>
          <w:rFonts w:ascii="Garamond" w:hAnsi="Garamond" w:cs="Garamond"/>
          <w:color w:val="000000"/>
          <w:sz w:val="23"/>
          <w:szCs w:val="23"/>
        </w:rPr>
      </w:pPr>
      <w:r w:rsidRPr="007651B0">
        <w:rPr>
          <w:rFonts w:ascii="Garamond" w:hAnsi="Garamond" w:cs="Garamond"/>
          <w:color w:val="000000"/>
          <w:sz w:val="23"/>
          <w:szCs w:val="23"/>
        </w:rPr>
        <w:t xml:space="preserve">CLIVE PECKOVER </w:t>
      </w:r>
    </w:p>
    <w:p w:rsidR="00E26072" w:rsidRDefault="00E26072" w:rsidP="00E26072">
      <w:pPr>
        <w:tabs>
          <w:tab w:val="left" w:pos="567"/>
        </w:tabs>
        <w:jc w:val="both"/>
        <w:rPr>
          <w:rFonts w:ascii="Book Antiqua" w:hAnsi="Book Antiqua" w:cs="Arial"/>
        </w:rPr>
      </w:pPr>
      <w:r w:rsidRPr="007651B0">
        <w:rPr>
          <w:rFonts w:ascii="Garamond" w:hAnsi="Garamond" w:cs="Garamond"/>
          <w:color w:val="000000"/>
          <w:sz w:val="23"/>
          <w:szCs w:val="23"/>
        </w:rPr>
        <w:t>Head of Family Migration Policy</w:t>
      </w:r>
    </w:p>
    <w:p w:rsidR="00E26072" w:rsidRDefault="00E26072" w:rsidP="00E26072">
      <w:pPr>
        <w:tabs>
          <w:tab w:val="left" w:pos="567"/>
        </w:tabs>
        <w:jc w:val="both"/>
        <w:rPr>
          <w:rFonts w:ascii="Book Antiqua" w:hAnsi="Book Antiqua" w:cs="Arial"/>
        </w:rPr>
      </w:pPr>
    </w:p>
    <w:p w:rsidR="00E26072" w:rsidRP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 xml:space="preserve">1 Razgar v SSHD [2004] UKHL </w:t>
      </w:r>
    </w:p>
    <w:p w:rsidR="00E26072" w:rsidRPr="00E26072" w:rsidRDefault="00E26072" w:rsidP="00E26072">
      <w:pPr>
        <w:autoSpaceDE w:val="0"/>
        <w:autoSpaceDN w:val="0"/>
        <w:adjustRightInd w:val="0"/>
        <w:rPr>
          <w:rFonts w:ascii="Garamond" w:hAnsi="Garamond" w:cs="Garamond"/>
          <w:color w:val="000000"/>
          <w:sz w:val="16"/>
          <w:szCs w:val="16"/>
        </w:rPr>
      </w:pPr>
    </w:p>
    <w:p w:rsidR="00E26072" w:rsidRP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 xml:space="preserve">2 Huang v SSHD [2007] UKHL </w:t>
      </w:r>
    </w:p>
    <w:p w:rsidR="00E26072" w:rsidRPr="00E26072" w:rsidRDefault="00E26072" w:rsidP="00E26072">
      <w:pPr>
        <w:autoSpaceDE w:val="0"/>
        <w:autoSpaceDN w:val="0"/>
        <w:adjustRightInd w:val="0"/>
        <w:rPr>
          <w:rFonts w:ascii="Garamond" w:hAnsi="Garamond" w:cs="Garamond"/>
          <w:color w:val="000000"/>
          <w:sz w:val="16"/>
          <w:szCs w:val="16"/>
        </w:rPr>
      </w:pPr>
    </w:p>
    <w:p w:rsidR="00E26072" w:rsidRP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 xml:space="preserve">3 Huang v SSHD [2007] UKHL </w:t>
      </w:r>
    </w:p>
    <w:p w:rsidR="00E26072" w:rsidRPr="00E26072" w:rsidRDefault="00E26072" w:rsidP="00E26072">
      <w:pPr>
        <w:autoSpaceDE w:val="0"/>
        <w:autoSpaceDN w:val="0"/>
        <w:adjustRightInd w:val="0"/>
        <w:rPr>
          <w:rFonts w:ascii="Garamond" w:hAnsi="Garamond" w:cs="Garamond"/>
          <w:color w:val="000000"/>
          <w:sz w:val="16"/>
          <w:szCs w:val="16"/>
        </w:rPr>
      </w:pPr>
    </w:p>
    <w:p w:rsidR="00E26072" w:rsidRP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4 RU (</w:t>
      </w:r>
      <w:smartTag w:uri="urn:schemas-microsoft-com:office:smarttags" w:element="PlaceType">
        <w:r w:rsidRPr="00E26072">
          <w:rPr>
            <w:rFonts w:ascii="Garamond" w:hAnsi="Garamond" w:cs="Garamond"/>
            <w:color w:val="000000"/>
            <w:sz w:val="16"/>
            <w:szCs w:val="16"/>
          </w:rPr>
          <w:t>Bangladesh</w:t>
        </w:r>
      </w:smartTag>
      <w:r w:rsidRPr="00E26072">
        <w:rPr>
          <w:rFonts w:ascii="Garamond" w:hAnsi="Garamond" w:cs="Garamond"/>
          <w:color w:val="000000"/>
          <w:sz w:val="16"/>
          <w:szCs w:val="16"/>
        </w:rPr>
        <w:t>) v SSHD [2011] EWCA; Gurung v SSHD [2012] EWCA</w:t>
      </w:r>
    </w:p>
    <w:p w:rsidR="00E26072" w:rsidRP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 xml:space="preserve"> </w:t>
      </w:r>
    </w:p>
    <w:p w:rsidR="00E26072" w:rsidRDefault="00E26072" w:rsidP="00E26072">
      <w:pPr>
        <w:autoSpaceDE w:val="0"/>
        <w:autoSpaceDN w:val="0"/>
        <w:adjustRightInd w:val="0"/>
        <w:rPr>
          <w:rFonts w:ascii="Garamond" w:hAnsi="Garamond" w:cs="Garamond"/>
          <w:color w:val="000000"/>
          <w:sz w:val="16"/>
          <w:szCs w:val="16"/>
        </w:rPr>
      </w:pPr>
      <w:r w:rsidRPr="00E26072">
        <w:rPr>
          <w:rFonts w:ascii="Garamond" w:hAnsi="Garamond" w:cs="Garamond"/>
          <w:color w:val="000000"/>
          <w:sz w:val="16"/>
          <w:szCs w:val="16"/>
        </w:rPr>
        <w:t xml:space="preserve">5 HH v Deputy Prosecutor of the </w:t>
      </w:r>
      <w:smartTag w:uri="urn:schemas-microsoft-com:office:smarttags" w:element="PlaceType">
        <w:r w:rsidRPr="00E26072">
          <w:rPr>
            <w:rFonts w:ascii="Garamond" w:hAnsi="Garamond" w:cs="Garamond"/>
            <w:color w:val="000000"/>
            <w:sz w:val="16"/>
            <w:szCs w:val="16"/>
          </w:rPr>
          <w:t>Italian</w:t>
        </w:r>
      </w:smartTag>
      <w:r w:rsidRPr="00E26072">
        <w:rPr>
          <w:rFonts w:ascii="Garamond" w:hAnsi="Garamond" w:cs="Garamond"/>
          <w:color w:val="000000"/>
          <w:sz w:val="16"/>
          <w:szCs w:val="16"/>
        </w:rPr>
        <w:t xml:space="preserve"> </w:t>
      </w:r>
      <w:smartTag w:uri="urn:schemas-microsoft-com:office:smarttags" w:element="PlaceType">
        <w:r w:rsidRPr="00E26072">
          <w:rPr>
            <w:rFonts w:ascii="Garamond" w:hAnsi="Garamond" w:cs="Garamond"/>
            <w:color w:val="000000"/>
            <w:sz w:val="16"/>
            <w:szCs w:val="16"/>
          </w:rPr>
          <w:t>Republic</w:t>
        </w:r>
      </w:smartTag>
      <w:r w:rsidRPr="00E26072">
        <w:rPr>
          <w:rFonts w:ascii="Garamond" w:hAnsi="Garamond" w:cs="Garamond"/>
          <w:color w:val="000000"/>
          <w:sz w:val="16"/>
          <w:szCs w:val="16"/>
        </w:rPr>
        <w:t xml:space="preserve">, </w:t>
      </w:r>
      <w:smartTag w:uri="urn:schemas-microsoft-com:office:smarttags" w:element="PlaceType">
        <w:r w:rsidRPr="00E26072">
          <w:rPr>
            <w:rFonts w:ascii="Garamond" w:hAnsi="Garamond" w:cs="Garamond"/>
            <w:color w:val="000000"/>
            <w:sz w:val="16"/>
            <w:szCs w:val="16"/>
          </w:rPr>
          <w:t>Genoa</w:t>
        </w:r>
      </w:smartTag>
      <w:r w:rsidRPr="00E26072">
        <w:rPr>
          <w:rFonts w:ascii="Garamond" w:hAnsi="Garamond" w:cs="Garamond"/>
          <w:color w:val="000000"/>
          <w:sz w:val="16"/>
          <w:szCs w:val="16"/>
        </w:rPr>
        <w:t xml:space="preserve"> [2012] UKSC </w:t>
      </w: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E26072">
      <w:pPr>
        <w:autoSpaceDE w:val="0"/>
        <w:autoSpaceDN w:val="0"/>
        <w:adjustRightInd w:val="0"/>
        <w:rPr>
          <w:rFonts w:ascii="Garamond" w:hAnsi="Garamond" w:cs="Garamond"/>
          <w:color w:val="000000"/>
          <w:sz w:val="23"/>
          <w:szCs w:val="23"/>
        </w:rPr>
      </w:pPr>
    </w:p>
    <w:p w:rsidR="00E26072" w:rsidRDefault="00E26072" w:rsidP="007651B0">
      <w:pPr>
        <w:autoSpaceDE w:val="0"/>
        <w:autoSpaceDN w:val="0"/>
        <w:adjustRightInd w:val="0"/>
        <w:rPr>
          <w:rFonts w:ascii="Garamond" w:hAnsi="Garamond" w:cs="Garamond"/>
          <w:color w:val="000000"/>
          <w:sz w:val="23"/>
          <w:szCs w:val="23"/>
        </w:rPr>
      </w:pPr>
    </w:p>
    <w:p w:rsidR="00E26072" w:rsidRDefault="00E26072" w:rsidP="007651B0">
      <w:pPr>
        <w:autoSpaceDE w:val="0"/>
        <w:autoSpaceDN w:val="0"/>
        <w:adjustRightInd w:val="0"/>
        <w:rPr>
          <w:rFonts w:ascii="Garamond" w:hAnsi="Garamond" w:cs="Garamond"/>
          <w:color w:val="000000"/>
          <w:sz w:val="23"/>
          <w:szCs w:val="23"/>
        </w:rPr>
      </w:pPr>
    </w:p>
    <w:p w:rsidR="00E26072" w:rsidRDefault="00E26072" w:rsidP="007651B0">
      <w:pPr>
        <w:autoSpaceDE w:val="0"/>
        <w:autoSpaceDN w:val="0"/>
        <w:adjustRightInd w:val="0"/>
        <w:rPr>
          <w:rFonts w:ascii="Garamond" w:hAnsi="Garamond" w:cs="Garamond"/>
          <w:color w:val="000000"/>
          <w:sz w:val="23"/>
          <w:szCs w:val="23"/>
        </w:rPr>
      </w:pPr>
    </w:p>
    <w:p w:rsidR="00624606" w:rsidRDefault="00624606" w:rsidP="007651B0">
      <w:pPr>
        <w:autoSpaceDE w:val="0"/>
        <w:autoSpaceDN w:val="0"/>
        <w:adjustRightInd w:val="0"/>
        <w:rPr>
          <w:rFonts w:ascii="Garamond" w:hAnsi="Garamond" w:cs="Garamond"/>
          <w:color w:val="000000"/>
          <w:sz w:val="23"/>
          <w:szCs w:val="23"/>
        </w:rPr>
      </w:pPr>
    </w:p>
    <w:p w:rsidR="007651B0" w:rsidRPr="007651B0" w:rsidRDefault="007651B0" w:rsidP="007651B0">
      <w:pPr>
        <w:autoSpaceDE w:val="0"/>
        <w:autoSpaceDN w:val="0"/>
        <w:adjustRightInd w:val="0"/>
        <w:rPr>
          <w:rFonts w:ascii="Garamond" w:hAnsi="Garamond" w:cs="Garamond"/>
          <w:color w:val="000000"/>
          <w:sz w:val="23"/>
          <w:szCs w:val="23"/>
        </w:rPr>
      </w:pPr>
    </w:p>
    <w:p w:rsidR="000E7195" w:rsidRPr="00533E55" w:rsidRDefault="00F5678F" w:rsidP="00C56534">
      <w:pPr>
        <w:tabs>
          <w:tab w:val="left" w:pos="567"/>
        </w:tabs>
        <w:jc w:val="both"/>
        <w:rPr>
          <w:rFonts w:ascii="Book Antiqua" w:hAnsi="Book Antiqua" w:cs="Arial"/>
          <w:b/>
        </w:rPr>
      </w:pPr>
      <w:r>
        <w:rPr>
          <w:rFonts w:ascii="Book Antiqua" w:hAnsi="Book Antiqua" w:cs="Arial"/>
        </w:rPr>
        <w:br w:type="page"/>
      </w:r>
      <w:r w:rsidR="000E7195" w:rsidRPr="00533E55">
        <w:rPr>
          <w:rFonts w:ascii="Book Antiqua" w:hAnsi="Book Antiqua" w:cs="Arial"/>
          <w:b/>
        </w:rPr>
        <w:t>Appendix B</w:t>
      </w:r>
    </w:p>
    <w:p w:rsidR="000E7195" w:rsidRDefault="000E7195" w:rsidP="00C56534">
      <w:pPr>
        <w:tabs>
          <w:tab w:val="left" w:pos="567"/>
        </w:tabs>
        <w:jc w:val="both"/>
        <w:rPr>
          <w:rFonts w:ascii="Book Antiqua" w:hAnsi="Book Antiqua" w:cs="Arial"/>
        </w:rPr>
      </w:pPr>
    </w:p>
    <w:p w:rsidR="000E7195" w:rsidRDefault="000E7195" w:rsidP="00C56534">
      <w:pPr>
        <w:tabs>
          <w:tab w:val="left" w:pos="567"/>
        </w:tabs>
        <w:jc w:val="both"/>
        <w:rPr>
          <w:rFonts w:ascii="Book Antiqua" w:hAnsi="Book Antiqua" w:cs="Arial"/>
        </w:rPr>
      </w:pPr>
      <w:r>
        <w:rPr>
          <w:rFonts w:ascii="Book Antiqua" w:hAnsi="Book Antiqua" w:cs="Arial"/>
        </w:rPr>
        <w:t xml:space="preserve">Claimant’s </w:t>
      </w:r>
      <w:r w:rsidR="00533E55">
        <w:rPr>
          <w:rFonts w:ascii="Book Antiqua" w:hAnsi="Book Antiqua" w:cs="Arial"/>
        </w:rPr>
        <w:t xml:space="preserve"> written </w:t>
      </w:r>
      <w:r>
        <w:rPr>
          <w:rFonts w:ascii="Book Antiqua" w:hAnsi="Book Antiqua" w:cs="Arial"/>
        </w:rPr>
        <w:t>submissions</w:t>
      </w:r>
      <w:r w:rsidR="00533E55">
        <w:rPr>
          <w:rFonts w:ascii="Book Antiqua" w:hAnsi="Book Antiqua" w:cs="Arial"/>
        </w:rPr>
        <w:t xml:space="preserve"> in reply</w:t>
      </w:r>
    </w:p>
    <w:p w:rsidR="00F5678F" w:rsidRDefault="00F5678F" w:rsidP="00F5678F">
      <w:pPr>
        <w:pStyle w:val="Default"/>
      </w:pPr>
    </w:p>
    <w:p w:rsidR="00F5678F" w:rsidRDefault="00F5678F" w:rsidP="00F5678F">
      <w:pPr>
        <w:pStyle w:val="Default"/>
        <w:rPr>
          <w:sz w:val="23"/>
          <w:szCs w:val="23"/>
        </w:rPr>
      </w:pPr>
      <w:r>
        <w:rPr>
          <w:b/>
          <w:bCs/>
          <w:sz w:val="23"/>
          <w:szCs w:val="23"/>
        </w:rPr>
        <w:t xml:space="preserve">----------------------------------------------- </w:t>
      </w:r>
    </w:p>
    <w:p w:rsidR="00F5678F" w:rsidRDefault="00F5678F" w:rsidP="00F5678F">
      <w:pPr>
        <w:pStyle w:val="Default"/>
        <w:rPr>
          <w:sz w:val="23"/>
          <w:szCs w:val="23"/>
        </w:rPr>
      </w:pPr>
      <w:r>
        <w:rPr>
          <w:b/>
          <w:bCs/>
          <w:sz w:val="23"/>
          <w:szCs w:val="23"/>
        </w:rPr>
        <w:t xml:space="preserve">REPLY ON BEHALF OF RESPONDENT </w:t>
      </w:r>
    </w:p>
    <w:p w:rsidR="00F5678F" w:rsidRDefault="00F5678F" w:rsidP="00F5678F">
      <w:pPr>
        <w:pStyle w:val="Default"/>
        <w:rPr>
          <w:sz w:val="23"/>
          <w:szCs w:val="23"/>
        </w:rPr>
      </w:pPr>
      <w:r>
        <w:rPr>
          <w:b/>
          <w:bCs/>
          <w:sz w:val="23"/>
          <w:szCs w:val="23"/>
        </w:rPr>
        <w:t>TO DIRECTIONS OF 9</w:t>
      </w:r>
      <w:r>
        <w:rPr>
          <w:b/>
          <w:bCs/>
          <w:sz w:val="16"/>
          <w:szCs w:val="16"/>
        </w:rPr>
        <w:t xml:space="preserve">TH </w:t>
      </w:r>
      <w:r>
        <w:rPr>
          <w:b/>
          <w:bCs/>
          <w:sz w:val="23"/>
          <w:szCs w:val="23"/>
        </w:rPr>
        <w:t xml:space="preserve">OCTOBER 2012 </w:t>
      </w:r>
    </w:p>
    <w:p w:rsidR="00F5678F" w:rsidRDefault="00F5678F" w:rsidP="00F5678F">
      <w:pPr>
        <w:pStyle w:val="Default"/>
        <w:rPr>
          <w:sz w:val="23"/>
          <w:szCs w:val="23"/>
        </w:rPr>
      </w:pPr>
      <w:r>
        <w:rPr>
          <w:b/>
          <w:bCs/>
          <w:sz w:val="23"/>
          <w:szCs w:val="23"/>
        </w:rPr>
        <w:t xml:space="preserve">---------------------------------------------------------------- </w:t>
      </w:r>
    </w:p>
    <w:p w:rsidR="00F5678F" w:rsidRDefault="00F5678F" w:rsidP="00F5678F">
      <w:pPr>
        <w:pStyle w:val="Default"/>
        <w:rPr>
          <w:sz w:val="23"/>
          <w:szCs w:val="23"/>
        </w:rPr>
      </w:pPr>
      <w:r>
        <w:rPr>
          <w:b/>
          <w:bCs/>
          <w:sz w:val="23"/>
          <w:szCs w:val="23"/>
        </w:rPr>
        <w:t xml:space="preserve">Introduction </w:t>
      </w:r>
    </w:p>
    <w:p w:rsidR="00F5678F" w:rsidRDefault="00F5678F" w:rsidP="00F5678F">
      <w:pPr>
        <w:pStyle w:val="Default"/>
        <w:rPr>
          <w:sz w:val="23"/>
          <w:szCs w:val="23"/>
        </w:rPr>
      </w:pPr>
      <w:r>
        <w:rPr>
          <w:sz w:val="23"/>
          <w:szCs w:val="23"/>
        </w:rPr>
        <w:t>1. On 9</w:t>
      </w:r>
      <w:r>
        <w:rPr>
          <w:sz w:val="16"/>
          <w:szCs w:val="16"/>
        </w:rPr>
        <w:t xml:space="preserve">th </w:t>
      </w:r>
      <w:r>
        <w:rPr>
          <w:sz w:val="23"/>
          <w:szCs w:val="23"/>
        </w:rPr>
        <w:t>October 2012 the Upper Tribunal (Immigration and Asylum Chamber) directed that the Appellant Secretary of State for the Home Department (“SSHD”) should respond to two specified questions by 24</w:t>
      </w:r>
      <w:r>
        <w:rPr>
          <w:sz w:val="16"/>
          <w:szCs w:val="16"/>
        </w:rPr>
        <w:t xml:space="preserve">th </w:t>
      </w:r>
      <w:r>
        <w:rPr>
          <w:sz w:val="23"/>
          <w:szCs w:val="23"/>
        </w:rPr>
        <w:t>October 2012 and that the Respondent Ms. Izuazu (“R”) should by 31</w:t>
      </w:r>
      <w:r>
        <w:rPr>
          <w:sz w:val="16"/>
          <w:szCs w:val="16"/>
        </w:rPr>
        <w:t xml:space="preserve">st </w:t>
      </w:r>
      <w:r>
        <w:rPr>
          <w:sz w:val="23"/>
          <w:szCs w:val="23"/>
        </w:rPr>
        <w:t xml:space="preserve">October 2012 reply to any further submissions for the Appellant and to a further question posed by the Tribunal to R. The question for R is as follows: </w:t>
      </w:r>
    </w:p>
    <w:p w:rsidR="00F5678F" w:rsidRDefault="00F5678F" w:rsidP="00F5678F">
      <w:pPr>
        <w:pStyle w:val="Default"/>
        <w:rPr>
          <w:sz w:val="23"/>
          <w:szCs w:val="23"/>
        </w:rPr>
      </w:pPr>
    </w:p>
    <w:p w:rsidR="00F5678F" w:rsidRDefault="00F5678F" w:rsidP="00F5678F">
      <w:pPr>
        <w:pStyle w:val="Default"/>
        <w:rPr>
          <w:sz w:val="23"/>
          <w:szCs w:val="23"/>
        </w:rPr>
      </w:pPr>
      <w:r>
        <w:rPr>
          <w:i/>
          <w:iCs/>
          <w:sz w:val="23"/>
          <w:szCs w:val="23"/>
        </w:rPr>
        <w:t>Now that the rules make express provision for Article 8 claims to remain, is it accepted that the circumstances whereby a person who fails under the rules but may succeed under the law relating to Article 8 will be narrower and will be exceptional having regard to the new criteria? If not why not</w:t>
      </w:r>
      <w:r>
        <w:rPr>
          <w:sz w:val="23"/>
          <w:szCs w:val="23"/>
        </w:rPr>
        <w:t xml:space="preserve">? </w:t>
      </w:r>
    </w:p>
    <w:p w:rsidR="00F5678F" w:rsidRDefault="00F5678F" w:rsidP="00F5678F">
      <w:pPr>
        <w:pStyle w:val="Default"/>
        <w:rPr>
          <w:sz w:val="23"/>
          <w:szCs w:val="23"/>
        </w:rPr>
      </w:pPr>
      <w:r>
        <w:rPr>
          <w:sz w:val="23"/>
          <w:szCs w:val="23"/>
        </w:rPr>
        <w:t xml:space="preserve">2. R’s answer is “No”, for the following five reasons, which are developed below: </w:t>
      </w:r>
    </w:p>
    <w:p w:rsidR="00F5678F" w:rsidRDefault="00F5678F" w:rsidP="00F5678F">
      <w:pPr>
        <w:pStyle w:val="Default"/>
        <w:rPr>
          <w:sz w:val="23"/>
          <w:szCs w:val="23"/>
        </w:rPr>
      </w:pPr>
    </w:p>
    <w:p w:rsidR="00F5678F" w:rsidRDefault="00F5678F" w:rsidP="00F5678F">
      <w:pPr>
        <w:pStyle w:val="Default"/>
        <w:rPr>
          <w:sz w:val="23"/>
          <w:szCs w:val="23"/>
        </w:rPr>
      </w:pPr>
      <w:r>
        <w:rPr>
          <w:sz w:val="23"/>
          <w:szCs w:val="23"/>
        </w:rPr>
        <w:t xml:space="preserve">a. It is established principle that there is in law no exceptionality test in Article 8 cases involving immigration; </w:t>
      </w:r>
    </w:p>
    <w:p w:rsidR="00F5678F" w:rsidRDefault="00F5678F" w:rsidP="00F5678F">
      <w:pPr>
        <w:pStyle w:val="Default"/>
        <w:rPr>
          <w:sz w:val="23"/>
          <w:szCs w:val="23"/>
        </w:rPr>
      </w:pPr>
    </w:p>
    <w:p w:rsidR="00F5678F" w:rsidRDefault="00F5678F" w:rsidP="00F5678F">
      <w:pPr>
        <w:pStyle w:val="Default"/>
        <w:rPr>
          <w:sz w:val="23"/>
          <w:szCs w:val="23"/>
        </w:rPr>
      </w:pPr>
      <w:r>
        <w:rPr>
          <w:sz w:val="23"/>
          <w:szCs w:val="23"/>
        </w:rPr>
        <w:t xml:space="preserve">b. The Rules are executive statements of policy, and do not carry a legislative imprimatur sufficient to alter the correct legal test. The suggestion to the contrary is wrong in principle and ill-founded in context; </w:t>
      </w:r>
    </w:p>
    <w:p w:rsidR="00F5678F" w:rsidRDefault="00F5678F" w:rsidP="00F5678F">
      <w:pPr>
        <w:pStyle w:val="Default"/>
        <w:rPr>
          <w:sz w:val="23"/>
          <w:szCs w:val="23"/>
        </w:rPr>
      </w:pPr>
    </w:p>
    <w:p w:rsidR="00F5678F" w:rsidRDefault="00F5678F" w:rsidP="00F5678F">
      <w:pPr>
        <w:pStyle w:val="Default"/>
        <w:rPr>
          <w:color w:val="auto"/>
          <w:sz w:val="23"/>
          <w:szCs w:val="23"/>
        </w:rPr>
      </w:pPr>
      <w:r>
        <w:rPr>
          <w:sz w:val="23"/>
          <w:szCs w:val="23"/>
        </w:rPr>
        <w:t xml:space="preserve">c. In the </w:t>
      </w:r>
      <w:r>
        <w:rPr>
          <w:i/>
          <w:iCs/>
          <w:sz w:val="23"/>
          <w:szCs w:val="23"/>
        </w:rPr>
        <w:t>appellate context</w:t>
      </w:r>
      <w:r>
        <w:rPr>
          <w:sz w:val="23"/>
          <w:szCs w:val="23"/>
        </w:rPr>
        <w:t xml:space="preserve">, no deference is owed to the executive assessment of where the public interest in removal lies. There are no institutional grounds (based on lack of appellate expertise) nor constitutional grounds (based on accountability) for </w:t>
      </w:r>
      <w:r>
        <w:rPr>
          <w:color w:val="auto"/>
          <w:sz w:val="23"/>
          <w:szCs w:val="23"/>
        </w:rPr>
        <w:t xml:space="preserve">such deference. The question is one of weight, and the approach is not altered because the Rules now seek to make (inadequate and inaccurate) provision for Article 8: before the recent changes, the Secretary of State was obliged to and did make Article 8 assessments case by case;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d. The Rules operate independently of Article 8. The success of an Article 8 claim is not to be measured by its proximity to meeting the requirements of the Rules;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e. The approach of the </w:t>
      </w:r>
      <w:smartTag w:uri="urn:schemas-microsoft-com:office:smarttags" w:element="PlaceType">
        <w:r>
          <w:rPr>
            <w:color w:val="auto"/>
            <w:sz w:val="23"/>
            <w:szCs w:val="23"/>
          </w:rPr>
          <w:t>Strasbourg Court</w:t>
        </w:r>
      </w:smartTag>
      <w:r>
        <w:rPr>
          <w:color w:val="auto"/>
          <w:sz w:val="23"/>
          <w:szCs w:val="23"/>
        </w:rPr>
        <w:t xml:space="preserve"> to Article 8 cases does not vary according to the stringency of the municipal immigration policy at issue. The assessment is independent.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R’s reasoning on the points is set out sequentially below. </w:t>
      </w:r>
    </w:p>
    <w:p w:rsidR="00624606" w:rsidRDefault="00624606" w:rsidP="00F5678F">
      <w:pPr>
        <w:pStyle w:val="Default"/>
        <w:rPr>
          <w:color w:val="auto"/>
          <w:sz w:val="23"/>
          <w:szCs w:val="23"/>
        </w:rPr>
      </w:pPr>
    </w:p>
    <w:p w:rsidR="00F5678F" w:rsidRDefault="00F5678F" w:rsidP="00F5678F">
      <w:pPr>
        <w:pStyle w:val="Default"/>
        <w:rPr>
          <w:b/>
          <w:bCs/>
          <w:color w:val="auto"/>
          <w:sz w:val="23"/>
          <w:szCs w:val="23"/>
        </w:rPr>
      </w:pPr>
      <w:r>
        <w:rPr>
          <w:b/>
          <w:bCs/>
          <w:color w:val="auto"/>
          <w:sz w:val="23"/>
          <w:szCs w:val="23"/>
        </w:rPr>
        <w:t xml:space="preserve">(1) No exceptionality test in law </w:t>
      </w:r>
    </w:p>
    <w:p w:rsidR="00624606" w:rsidRDefault="00624606"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3. In </w:t>
      </w:r>
      <w:r>
        <w:rPr>
          <w:i/>
          <w:iCs/>
          <w:color w:val="auto"/>
          <w:sz w:val="23"/>
          <w:szCs w:val="23"/>
        </w:rPr>
        <w:t xml:space="preserve">Huang v SSHD; Kashmiri v SSHD </w:t>
      </w:r>
      <w:r>
        <w:rPr>
          <w:color w:val="auto"/>
          <w:sz w:val="23"/>
          <w:szCs w:val="23"/>
        </w:rPr>
        <w:t xml:space="preserve">[2007] UKHL 11; [2007] 2 AC 167, Lord Bingham for the House famously held that, unlike the position in housing cases, the Rules </w:t>
      </w:r>
      <w:r>
        <w:rPr>
          <w:i/>
          <w:iCs/>
          <w:color w:val="auto"/>
          <w:sz w:val="23"/>
          <w:szCs w:val="23"/>
        </w:rPr>
        <w:t xml:space="preserve">did </w:t>
      </w:r>
      <w:r>
        <w:rPr>
          <w:color w:val="auto"/>
          <w:sz w:val="23"/>
          <w:szCs w:val="23"/>
        </w:rPr>
        <w:t xml:space="preserve">not and </w:t>
      </w:r>
      <w:r>
        <w:rPr>
          <w:i/>
          <w:iCs/>
          <w:color w:val="auto"/>
          <w:sz w:val="23"/>
          <w:szCs w:val="23"/>
        </w:rPr>
        <w:t xml:space="preserve">could </w:t>
      </w:r>
      <w:r>
        <w:rPr>
          <w:color w:val="auto"/>
          <w:sz w:val="23"/>
          <w:szCs w:val="23"/>
        </w:rPr>
        <w:t xml:space="preserve">not strike the balance between private right and public interest in the way that housing legislation over the years had [underlining added]: </w:t>
      </w:r>
    </w:p>
    <w:p w:rsidR="00F5678F" w:rsidRDefault="00F5678F" w:rsidP="00F5678F">
      <w:pPr>
        <w:pStyle w:val="Default"/>
        <w:rPr>
          <w:color w:val="auto"/>
          <w:sz w:val="23"/>
          <w:szCs w:val="23"/>
        </w:rPr>
      </w:pPr>
    </w:p>
    <w:p w:rsidR="00624606" w:rsidRDefault="00F5678F" w:rsidP="005A0405">
      <w:pPr>
        <w:pStyle w:val="Default"/>
        <w:rPr>
          <w:i/>
          <w:iCs/>
          <w:color w:val="auto"/>
          <w:sz w:val="23"/>
          <w:szCs w:val="23"/>
        </w:rPr>
      </w:pPr>
      <w:r>
        <w:rPr>
          <w:i/>
          <w:iCs/>
          <w:color w:val="auto"/>
          <w:sz w:val="23"/>
          <w:szCs w:val="23"/>
        </w:rPr>
        <w:t xml:space="preserve">17. Counsel for the Secretary of State nevertheless put his case much higher even than that. She relied by analogy on the decision of the House in Kay v Lambeth </w:t>
      </w:r>
      <w:smartTag w:uri="urn:schemas-microsoft-com:office:smarttags" w:element="PlaceType">
        <w:r>
          <w:rPr>
            <w:i/>
            <w:iCs/>
            <w:color w:val="auto"/>
            <w:sz w:val="23"/>
            <w:szCs w:val="23"/>
          </w:rPr>
          <w:t>London</w:t>
        </w:r>
      </w:smartTag>
      <w:r>
        <w:rPr>
          <w:i/>
          <w:iCs/>
          <w:color w:val="auto"/>
          <w:sz w:val="23"/>
          <w:szCs w:val="23"/>
        </w:rPr>
        <w:t xml:space="preserve"> Borough Council [2006] UKHL 10, [2006] 2 AC 465, where the House considered the article 8 right to respect for the home. It held that the right of a public authority landlord to enforce a claim for possession under domestic law against an occupier whose right to occupy (if any) had ended and who was entitled to no protection in domestic law would in most cases automatically supply the justification required by article 8(2), and the courts would assume that domestic law struck the proper balance, at any rate unless the contrary were shown. So here, it was said, the appellate immigration authority should assume that the Immigration Rules and supplementary instructions, made by the responsible minister and laid before Parliament, had the imprimatur of democratic approval and should be taken to strike the right balance between the interests of the individual and those of the community. The analogy is unpersuasive. Domestic housing policy has been a continuing subject of discussion and debate in Parliament over very many years, with the competing interests of landlords and tenants fully represented, as also the public interest in securing accommodation for the indigent, averting homelessness and making the best use of finite public resources. The outcome, changed from time to time, may truly be said to represent a considered democratic compromise. This cannot be said in the same way of the Immigration Rules and supplementary instructions, which are not the product of active debate in Parliament, where non-nationals seeking leave to enter or remain are not in any event represented. </w:t>
      </w:r>
    </w:p>
    <w:p w:rsidR="005A0405" w:rsidRDefault="005A0405" w:rsidP="005A0405">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4. The reasoning in </w:t>
      </w:r>
      <w:r>
        <w:rPr>
          <w:i/>
          <w:iCs/>
          <w:color w:val="auto"/>
          <w:sz w:val="23"/>
          <w:szCs w:val="23"/>
        </w:rPr>
        <w:t xml:space="preserve">Huang </w:t>
      </w:r>
      <w:r>
        <w:rPr>
          <w:color w:val="auto"/>
          <w:sz w:val="23"/>
          <w:szCs w:val="23"/>
        </w:rPr>
        <w:t>is not undermined because the Secretary of State asserts her own view as to the Article 8 balance in the Rules. The Rules are not the subject of active debate and discussion over the years, and immigrants or potential immigrants are not represented. The Article 8 balance remains for the Courts, whose task (classically) is to safeguard the rights of vulnerable minorities. In a different context, as Justice Jackson for the US Supreme Court famously held, “</w:t>
      </w:r>
      <w:r>
        <w:rPr>
          <w:i/>
          <w:iCs/>
          <w:color w:val="auto"/>
          <w:sz w:val="23"/>
          <w:szCs w:val="23"/>
        </w:rPr>
        <w:t>The very purpose of a Bill of Rights was to withdraw certain subjects from the vicissitudes of political controversy, to place them beyond the reach of majorities and officials and to establish them as legal principles to be applied by the courts.</w:t>
      </w:r>
      <w:r>
        <w:rPr>
          <w:color w:val="auto"/>
          <w:sz w:val="23"/>
          <w:szCs w:val="23"/>
        </w:rPr>
        <w:t xml:space="preserve">”: </w:t>
      </w:r>
      <w:r>
        <w:rPr>
          <w:i/>
          <w:iCs/>
          <w:color w:val="auto"/>
          <w:sz w:val="23"/>
          <w:szCs w:val="23"/>
        </w:rPr>
        <w:t xml:space="preserve">West Virginia State Board of Education v. Barnette </w:t>
      </w:r>
      <w:r>
        <w:rPr>
          <w:color w:val="auto"/>
          <w:sz w:val="23"/>
          <w:szCs w:val="23"/>
        </w:rPr>
        <w:t xml:space="preserve">319 U.S. 624 (1943), at 638.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5. The conclusion in </w:t>
      </w:r>
      <w:r>
        <w:rPr>
          <w:i/>
          <w:iCs/>
          <w:color w:val="auto"/>
          <w:sz w:val="23"/>
          <w:szCs w:val="23"/>
        </w:rPr>
        <w:t xml:space="preserve">Huang </w:t>
      </w:r>
      <w:r>
        <w:rPr>
          <w:color w:val="auto"/>
          <w:sz w:val="23"/>
          <w:szCs w:val="23"/>
        </w:rPr>
        <w:t xml:space="preserve">as to exceptionality was of course as follows: </w:t>
      </w:r>
    </w:p>
    <w:p w:rsidR="00F5678F" w:rsidRDefault="00F5678F" w:rsidP="00F5678F">
      <w:pPr>
        <w:pStyle w:val="Default"/>
        <w:rPr>
          <w:color w:val="auto"/>
          <w:sz w:val="23"/>
          <w:szCs w:val="23"/>
        </w:rPr>
      </w:pPr>
    </w:p>
    <w:p w:rsidR="00624606" w:rsidRDefault="00F5678F" w:rsidP="00F5678F">
      <w:pPr>
        <w:pStyle w:val="Default"/>
        <w:rPr>
          <w:i/>
          <w:iCs/>
          <w:color w:val="auto"/>
          <w:sz w:val="23"/>
          <w:szCs w:val="23"/>
        </w:rPr>
      </w:pPr>
      <w:r>
        <w:rPr>
          <w:i/>
          <w:iCs/>
          <w:color w:val="auto"/>
          <w:sz w:val="23"/>
          <w:szCs w:val="23"/>
        </w:rPr>
        <w:t xml:space="preserve">20. In an article 8 case ... the ultimate question for the appellate immigration authority is whether the refusal of leave to enter or remain, in circumstances where the life of the family cannot reasonably be expected to be enjoyed elsewhere, taking full account of all considerations weighing in favour of the refusal, prejudices the family life of the applicant in a manner sufficiently serious to amount to a breach of the fundamental right protected by article 8. If the answer to this question is affirmative, the refusal is unlawful and the authority must so decide. It is not necessary that the appellate immigration authority, directing itself along the lines indicated in this opinion, need ask in addition whether the case meets a test of exceptionality. The suggestion that it should is based on an observation of Lord Bingham in </w:t>
      </w:r>
      <w:r>
        <w:rPr>
          <w:color w:val="auto"/>
          <w:sz w:val="23"/>
          <w:szCs w:val="23"/>
        </w:rPr>
        <w:t>Razgar</w:t>
      </w:r>
      <w:r>
        <w:rPr>
          <w:i/>
          <w:iCs/>
          <w:color w:val="auto"/>
          <w:sz w:val="23"/>
          <w:szCs w:val="23"/>
        </w:rPr>
        <w:t>, para 20. He was there expressing an expectation, shared with the Immigration Appeal Tribunal, that the number of claimants not covered by the rules and supplementary directions but entitled to succeed under article 8 would be a very small minority. That is still his expectation. But he was not purporting to lay down a legal test.</w:t>
      </w:r>
    </w:p>
    <w:p w:rsidR="00F5678F" w:rsidRDefault="00F5678F" w:rsidP="00F5678F">
      <w:pPr>
        <w:pStyle w:val="Default"/>
        <w:rPr>
          <w:color w:val="auto"/>
          <w:sz w:val="23"/>
          <w:szCs w:val="23"/>
        </w:rPr>
      </w:pPr>
      <w:r>
        <w:rPr>
          <w:i/>
          <w:iCs/>
          <w:color w:val="auto"/>
          <w:sz w:val="23"/>
          <w:szCs w:val="23"/>
        </w:rPr>
        <w:t xml:space="preserve"> </w:t>
      </w:r>
    </w:p>
    <w:p w:rsidR="00F5678F" w:rsidRDefault="00F5678F" w:rsidP="00F5678F">
      <w:pPr>
        <w:pStyle w:val="Default"/>
        <w:rPr>
          <w:color w:val="auto"/>
          <w:sz w:val="23"/>
          <w:szCs w:val="23"/>
        </w:rPr>
      </w:pPr>
      <w:r>
        <w:rPr>
          <w:color w:val="auto"/>
          <w:sz w:val="23"/>
          <w:szCs w:val="23"/>
        </w:rPr>
        <w:t>6. There are two points to note concerning this passage. The first obvious point is that the Committee reversed the approach of the Court of Appeal at [2005] EWCA Civ 105; [2006] QB 1, as set out by Laws LJ at §§52-62. This considered the Immigration Rules themselves to “</w:t>
      </w:r>
      <w:r>
        <w:rPr>
          <w:i/>
          <w:iCs/>
          <w:color w:val="auto"/>
          <w:sz w:val="23"/>
          <w:szCs w:val="23"/>
        </w:rPr>
        <w:t>strike the balance between the public interest and the private right</w:t>
      </w:r>
      <w:r>
        <w:rPr>
          <w:color w:val="auto"/>
          <w:sz w:val="23"/>
          <w:szCs w:val="23"/>
        </w:rPr>
        <w:t xml:space="preserve">” and to be entitled to deference as having Parliamentary imprimatur: </w:t>
      </w:r>
    </w:p>
    <w:p w:rsidR="00F5678F" w:rsidRDefault="00F5678F" w:rsidP="00F5678F">
      <w:pPr>
        <w:pStyle w:val="Default"/>
        <w:rPr>
          <w:color w:val="auto"/>
          <w:sz w:val="23"/>
          <w:szCs w:val="23"/>
        </w:rPr>
      </w:pPr>
    </w:p>
    <w:p w:rsidR="00F5678F" w:rsidRDefault="00F5678F" w:rsidP="00F5678F">
      <w:pPr>
        <w:pStyle w:val="Default"/>
        <w:rPr>
          <w:color w:val="auto"/>
          <w:sz w:val="20"/>
          <w:szCs w:val="20"/>
        </w:rPr>
      </w:pPr>
      <w:r>
        <w:rPr>
          <w:i/>
          <w:iCs/>
          <w:color w:val="auto"/>
          <w:sz w:val="23"/>
          <w:szCs w:val="23"/>
        </w:rPr>
        <w:t>58. In the present case the policy is given and the balance struck by the Rules and not by main legislation. But the balance so struck is not in our judgment entitled to less respect or deference on that account. We would emphasise the particularity with which the Rules have prescribed which classes of aliens will in the ordinary way be allowed to enter the United Kingdom and which will not</w:t>
      </w:r>
    </w:p>
    <w:p w:rsidR="00F5678F" w:rsidRDefault="00F5678F" w:rsidP="00F5678F">
      <w:pPr>
        <w:pStyle w:val="Default"/>
        <w:rPr>
          <w:color w:val="auto"/>
        </w:rPr>
      </w:pPr>
    </w:p>
    <w:p w:rsidR="005A0405" w:rsidRDefault="00F5678F" w:rsidP="00F5678F">
      <w:pPr>
        <w:pStyle w:val="Default"/>
        <w:pageBreakBefore/>
        <w:rPr>
          <w:color w:val="auto"/>
          <w:sz w:val="23"/>
          <w:szCs w:val="23"/>
        </w:rPr>
      </w:pPr>
      <w:r>
        <w:rPr>
          <w:color w:val="auto"/>
          <w:sz w:val="23"/>
          <w:szCs w:val="23"/>
        </w:rPr>
        <w:t xml:space="preserve">7. Second, Lord Bingham’s “expectation” as to exceptionality in Huang was not one he held with respect to </w:t>
      </w:r>
      <w:r>
        <w:rPr>
          <w:i/>
          <w:iCs/>
          <w:color w:val="auto"/>
          <w:sz w:val="23"/>
          <w:szCs w:val="23"/>
        </w:rPr>
        <w:t xml:space="preserve">the vertical or horizontal splitting of nuclear families. </w:t>
      </w:r>
      <w:r>
        <w:rPr>
          <w:color w:val="auto"/>
          <w:sz w:val="23"/>
          <w:szCs w:val="23"/>
        </w:rPr>
        <w:t xml:space="preserve">Indeed the expectation in such cases was </w:t>
      </w:r>
      <w:r>
        <w:rPr>
          <w:i/>
          <w:iCs/>
          <w:color w:val="auto"/>
          <w:sz w:val="23"/>
          <w:szCs w:val="23"/>
        </w:rPr>
        <w:t>reversed</w:t>
      </w:r>
      <w:r>
        <w:rPr>
          <w:color w:val="auto"/>
          <w:sz w:val="23"/>
          <w:szCs w:val="23"/>
        </w:rPr>
        <w:t xml:space="preserve">: it would be the “rare” case where a separation of spouses or a parent and child would be sanctioned by the Court. This was made plain in </w:t>
      </w:r>
      <w:r>
        <w:rPr>
          <w:i/>
          <w:iCs/>
          <w:color w:val="auto"/>
          <w:sz w:val="23"/>
          <w:szCs w:val="23"/>
        </w:rPr>
        <w:t xml:space="preserve">EB (Kosovo) v SSHD </w:t>
      </w:r>
      <w:r>
        <w:rPr>
          <w:color w:val="auto"/>
          <w:sz w:val="23"/>
          <w:szCs w:val="23"/>
        </w:rPr>
        <w:t xml:space="preserve">[2008] UKHL 41; [2009] 1 AC 1159, one of the four Article 8 cases decided a year after </w:t>
      </w:r>
      <w:r>
        <w:rPr>
          <w:i/>
          <w:iCs/>
          <w:color w:val="auto"/>
          <w:sz w:val="23"/>
          <w:szCs w:val="23"/>
        </w:rPr>
        <w:t xml:space="preserve">Huang, </w:t>
      </w:r>
      <w:r>
        <w:rPr>
          <w:color w:val="auto"/>
          <w:sz w:val="23"/>
          <w:szCs w:val="23"/>
        </w:rPr>
        <w:t xml:space="preserve">at §12, and in </w:t>
      </w:r>
      <w:r>
        <w:rPr>
          <w:i/>
          <w:iCs/>
          <w:color w:val="auto"/>
          <w:sz w:val="23"/>
          <w:szCs w:val="23"/>
        </w:rPr>
        <w:t xml:space="preserve">Chikwamba v SSHD </w:t>
      </w:r>
      <w:r>
        <w:rPr>
          <w:color w:val="auto"/>
          <w:sz w:val="23"/>
          <w:szCs w:val="23"/>
        </w:rPr>
        <w:t>[2008] UKHL 40; [2009] 1 All ER 363 at §44</w:t>
      </w:r>
      <w:r>
        <w:rPr>
          <w:i/>
          <w:iCs/>
          <w:color w:val="auto"/>
          <w:sz w:val="23"/>
          <w:szCs w:val="23"/>
        </w:rPr>
        <w:t xml:space="preserve">. Huang and Kashmiri </w:t>
      </w:r>
      <w:r>
        <w:rPr>
          <w:color w:val="auto"/>
          <w:sz w:val="23"/>
          <w:szCs w:val="23"/>
        </w:rPr>
        <w:t>concerned non-nuclear family relationships (grandmother, adult daughter and grandchildren; adult son respectively)</w:t>
      </w:r>
      <w:r w:rsidR="005A0405">
        <w:rPr>
          <w:color w:val="auto"/>
          <w:sz w:val="23"/>
          <w:szCs w:val="23"/>
        </w:rPr>
        <w:t>.</w:t>
      </w:r>
      <w:r>
        <w:rPr>
          <w:color w:val="auto"/>
          <w:sz w:val="23"/>
          <w:szCs w:val="23"/>
        </w:rPr>
        <w:t xml:space="preserve"> </w:t>
      </w:r>
    </w:p>
    <w:p w:rsidR="005A0405" w:rsidRDefault="005A0405" w:rsidP="00F5678F">
      <w:pPr>
        <w:pStyle w:val="Default"/>
        <w:rPr>
          <w:b/>
          <w:bCs/>
          <w:color w:val="auto"/>
          <w:sz w:val="23"/>
          <w:szCs w:val="23"/>
        </w:rPr>
      </w:pPr>
    </w:p>
    <w:p w:rsidR="00F5678F" w:rsidRDefault="00F5678F" w:rsidP="00F5678F">
      <w:pPr>
        <w:pStyle w:val="Default"/>
        <w:rPr>
          <w:b/>
          <w:bCs/>
          <w:color w:val="auto"/>
          <w:sz w:val="23"/>
          <w:szCs w:val="23"/>
        </w:rPr>
      </w:pPr>
      <w:r>
        <w:rPr>
          <w:b/>
          <w:bCs/>
          <w:color w:val="auto"/>
          <w:sz w:val="23"/>
          <w:szCs w:val="23"/>
        </w:rPr>
        <w:t xml:space="preserve">(2) The Rules are executive statements of policy </w:t>
      </w:r>
    </w:p>
    <w:p w:rsidR="00624606" w:rsidRDefault="00624606"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8. As the Secretary of State recognises, the Rules are a “</w:t>
      </w:r>
      <w:r>
        <w:rPr>
          <w:i/>
          <w:iCs/>
          <w:color w:val="auto"/>
          <w:sz w:val="23"/>
          <w:szCs w:val="23"/>
        </w:rPr>
        <w:t>statement of her practice in deciding applications</w:t>
      </w:r>
      <w:r>
        <w:rPr>
          <w:color w:val="auto"/>
          <w:sz w:val="23"/>
          <w:szCs w:val="23"/>
        </w:rPr>
        <w:t xml:space="preserve">” (Secretary of State's submissions of 24.10.12). R’s Skeleton rehearsed the case law making it plain that the Rules are statements of executive policy: Skeleton at §§18-19.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9. The Rules do not have sufficient legislative imprimatur to alter the </w:t>
      </w:r>
      <w:r>
        <w:rPr>
          <w:i/>
          <w:iCs/>
          <w:color w:val="auto"/>
          <w:sz w:val="23"/>
          <w:szCs w:val="23"/>
        </w:rPr>
        <w:t xml:space="preserve">Huang </w:t>
      </w:r>
      <w:r>
        <w:rPr>
          <w:color w:val="auto"/>
          <w:sz w:val="23"/>
          <w:szCs w:val="23"/>
        </w:rPr>
        <w:t xml:space="preserve">approach. The Secretary of State's contrary submission is wrong in principle and ill-founded in context.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Principle </w:t>
      </w:r>
    </w:p>
    <w:p w:rsidR="00F5678F" w:rsidRDefault="00F5678F" w:rsidP="00F5678F">
      <w:pPr>
        <w:pStyle w:val="Default"/>
        <w:rPr>
          <w:color w:val="auto"/>
          <w:sz w:val="23"/>
          <w:szCs w:val="23"/>
        </w:rPr>
      </w:pPr>
      <w:r>
        <w:rPr>
          <w:color w:val="auto"/>
          <w:sz w:val="23"/>
          <w:szCs w:val="23"/>
        </w:rPr>
        <w:t xml:space="preserve">10. The principled position is plain from </w:t>
      </w:r>
      <w:r>
        <w:rPr>
          <w:i/>
          <w:iCs/>
          <w:color w:val="auto"/>
          <w:sz w:val="23"/>
          <w:szCs w:val="23"/>
        </w:rPr>
        <w:t xml:space="preserve">Huang </w:t>
      </w:r>
      <w:r>
        <w:rPr>
          <w:color w:val="auto"/>
          <w:sz w:val="23"/>
          <w:szCs w:val="23"/>
        </w:rPr>
        <w:t xml:space="preserve">itself (see preceding submissions), and was underscored in a “policy” context both in </w:t>
      </w:r>
      <w:r>
        <w:rPr>
          <w:i/>
          <w:iCs/>
          <w:color w:val="auto"/>
          <w:sz w:val="23"/>
          <w:szCs w:val="23"/>
        </w:rPr>
        <w:t xml:space="preserve">Chikwamba </w:t>
      </w:r>
      <w:r>
        <w:rPr>
          <w:color w:val="auto"/>
          <w:sz w:val="23"/>
          <w:szCs w:val="23"/>
        </w:rPr>
        <w:t xml:space="preserve">(see R’s Skeleton at §20(b), pp. 8-9), and in </w:t>
      </w:r>
      <w:r>
        <w:rPr>
          <w:i/>
          <w:iCs/>
          <w:color w:val="auto"/>
          <w:sz w:val="23"/>
          <w:szCs w:val="23"/>
        </w:rPr>
        <w:t xml:space="preserve">R (otao Quila &amp; Anor) v SSHD </w:t>
      </w:r>
      <w:r>
        <w:rPr>
          <w:color w:val="auto"/>
          <w:sz w:val="23"/>
          <w:szCs w:val="23"/>
        </w:rPr>
        <w:t xml:space="preserve">[2011] UKSC 45; [2011] 3 WLR 836, §§44-46.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11. In the latter case, Lord Wilson for the majority (Lord Phillips P, Lady Hale and </w:t>
      </w:r>
      <w:smartTag w:uri="urn:schemas-microsoft-com:office:smarttags" w:element="PlaceType">
        <w:r>
          <w:rPr>
            <w:color w:val="auto"/>
            <w:sz w:val="23"/>
            <w:szCs w:val="23"/>
          </w:rPr>
          <w:t>Lord Clarke</w:t>
        </w:r>
      </w:smartTag>
      <w:r>
        <w:rPr>
          <w:color w:val="auto"/>
          <w:sz w:val="23"/>
          <w:szCs w:val="23"/>
        </w:rPr>
        <w:t xml:space="preserve">) held at §46 that [underlining added]: </w:t>
      </w:r>
    </w:p>
    <w:p w:rsidR="00F5678F" w:rsidRDefault="00F5678F" w:rsidP="00F5678F">
      <w:pPr>
        <w:pStyle w:val="Default"/>
        <w:rPr>
          <w:color w:val="auto"/>
          <w:sz w:val="23"/>
          <w:szCs w:val="23"/>
        </w:rPr>
      </w:pPr>
    </w:p>
    <w:p w:rsidR="0068188E" w:rsidRDefault="00F5678F" w:rsidP="00F5678F">
      <w:pPr>
        <w:pStyle w:val="Default"/>
        <w:rPr>
          <w:i/>
          <w:iCs/>
          <w:color w:val="auto"/>
          <w:sz w:val="23"/>
          <w:szCs w:val="23"/>
        </w:rPr>
      </w:pPr>
      <w:r>
        <w:rPr>
          <w:color w:val="auto"/>
          <w:sz w:val="23"/>
          <w:szCs w:val="23"/>
        </w:rPr>
        <w:t>46. …</w:t>
      </w:r>
      <w:r>
        <w:rPr>
          <w:i/>
          <w:iCs/>
          <w:color w:val="auto"/>
          <w:sz w:val="23"/>
          <w:szCs w:val="23"/>
        </w:rPr>
        <w:t>Lord Brown's call, at para 91 below, for the courts in this context to afford to government a very substantial area of discretionary judgement is at odds with my understanding of the nature of their duty. Indeed, in the case of Huang ... Lord Bingham proceeded to explain, at para 16, that it would be wrong to afford "deference" to the judgments of the Secretary of State on matters related to the above questions albeit that appropriate weight had to be given to them to the extent, in particular, that she was likely to have had access to special sources of knowledge and advice in connection with them. He added, at para 17, that, notwithstanding the limited right of Parliament to call upon the Secretary of State to reconsider proposed changes in the Immigration Rules provided by section 3(2) of the Immigration Act 1971, it would go too far to say that any changes ultimately made had the imprimatur of democratic approval such as would be relevant in particular to any answer to [the fair balance proportionality] question ...</w:t>
      </w:r>
    </w:p>
    <w:p w:rsidR="0068188E" w:rsidRDefault="0068188E" w:rsidP="00F5678F">
      <w:pPr>
        <w:pStyle w:val="Default"/>
        <w:rPr>
          <w:i/>
          <w:iCs/>
          <w:color w:val="auto"/>
          <w:sz w:val="23"/>
          <w:szCs w:val="23"/>
        </w:rPr>
      </w:pPr>
    </w:p>
    <w:p w:rsidR="00F5678F" w:rsidRDefault="00F5678F" w:rsidP="00F5678F">
      <w:pPr>
        <w:pStyle w:val="Default"/>
        <w:rPr>
          <w:color w:val="auto"/>
          <w:sz w:val="23"/>
          <w:szCs w:val="23"/>
        </w:rPr>
      </w:pPr>
      <w:r>
        <w:rPr>
          <w:i/>
          <w:iCs/>
          <w:color w:val="auto"/>
          <w:sz w:val="23"/>
          <w:szCs w:val="23"/>
        </w:rPr>
        <w:t xml:space="preserve"> </w:t>
      </w:r>
      <w:r>
        <w:rPr>
          <w:color w:val="auto"/>
          <w:sz w:val="23"/>
          <w:szCs w:val="23"/>
        </w:rPr>
        <w:t xml:space="preserve">12. </w:t>
      </w:r>
      <w:r>
        <w:rPr>
          <w:i/>
          <w:iCs/>
          <w:color w:val="auto"/>
          <w:sz w:val="23"/>
          <w:szCs w:val="23"/>
        </w:rPr>
        <w:t xml:space="preserve">Quila </w:t>
      </w:r>
      <w:r>
        <w:rPr>
          <w:color w:val="auto"/>
          <w:sz w:val="23"/>
          <w:szCs w:val="23"/>
        </w:rPr>
        <w:t xml:space="preserve">concerned the proportionality of an amended provision of the Rules as to marriage. Lord Brown had held (in a minority view) that: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91. Really these questions are questions of policy and should be for government rather than us. Of course, the ultimate decision on article 8(2) proportionality must be for the courts but in this particular context the courts should to my mind accord government a very substantial area of discretionary judgment. Huang v Secretary of State for the Home Department [2007] 2 AC 167 (to which Lord Wilson refers at para 46 of his judgment) was a very different sort of case from the present, concerning as it did the article 8 claims of two particular individuals on their own special facts. No one was seeking there, as here, actually to strike down an immigration rule. Certainly, at paragraph 16 of the committee's opinion (given by Lord Bingham) in Huang, we deprecated the use of the term "deference" to describe the weight to be given to certain factors considered important by the Secretary of State. But we expressly recognised the need to accord "appropriate weight to the judgment of a person with responsibility for a given subject matter and access to special sources of knowledge and advice." That is precisely what I am suggesting should be done here: it is the Secretary of State who has the responsibility for combating forced marriages in the context of immigration and who should be recognised as having access to special sources of knowledge and advice in that regard. </w:t>
      </w:r>
    </w:p>
    <w:p w:rsidR="00624606" w:rsidRDefault="00624606"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13. Indeed Lord Brown’s minority view is difficult to square with his own approach in </w:t>
      </w:r>
      <w:r>
        <w:rPr>
          <w:i/>
          <w:iCs/>
          <w:color w:val="auto"/>
          <w:sz w:val="23"/>
          <w:szCs w:val="23"/>
        </w:rPr>
        <w:t xml:space="preserve">Chikwamba, </w:t>
      </w:r>
      <w:r>
        <w:rPr>
          <w:color w:val="auto"/>
          <w:sz w:val="23"/>
          <w:szCs w:val="23"/>
        </w:rPr>
        <w:t xml:space="preserve">to the Secretary of State's “policy” of requiring prior entry clearance.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14. The fact that the Secretary of State has sought to address Article 8 considerations in the Rules therefore does not attract deference, or weight, any more than her case-by-case consideration of Article 8 did before HC 194.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15. Nor do the Rules attract deference or greater weight because they fill a “</w:t>
      </w:r>
      <w:r>
        <w:rPr>
          <w:i/>
          <w:iCs/>
          <w:color w:val="auto"/>
          <w:sz w:val="23"/>
          <w:szCs w:val="23"/>
        </w:rPr>
        <w:t>policy vacuum</w:t>
      </w:r>
      <w:r>
        <w:rPr>
          <w:color w:val="auto"/>
          <w:sz w:val="23"/>
          <w:szCs w:val="23"/>
        </w:rPr>
        <w:t>” or represent “</w:t>
      </w:r>
      <w:r>
        <w:rPr>
          <w:i/>
          <w:iCs/>
          <w:color w:val="auto"/>
          <w:sz w:val="23"/>
          <w:szCs w:val="23"/>
        </w:rPr>
        <w:t>democratic endorsement</w:t>
      </w:r>
      <w:r>
        <w:rPr>
          <w:color w:val="auto"/>
          <w:sz w:val="23"/>
          <w:szCs w:val="23"/>
        </w:rPr>
        <w:t>” or “</w:t>
      </w:r>
      <w:r>
        <w:rPr>
          <w:i/>
          <w:iCs/>
          <w:color w:val="auto"/>
          <w:sz w:val="23"/>
          <w:szCs w:val="23"/>
        </w:rPr>
        <w:t>Parliament’s view</w:t>
      </w:r>
      <w:r>
        <w:rPr>
          <w:color w:val="auto"/>
          <w:sz w:val="23"/>
          <w:szCs w:val="23"/>
        </w:rPr>
        <w:t xml:space="preserve">”: these themes run through the Secretary of State's further submissions in this case and are redolent of the approach of the Court of Appeal’s decision in </w:t>
      </w:r>
      <w:r>
        <w:rPr>
          <w:i/>
          <w:iCs/>
          <w:color w:val="auto"/>
          <w:sz w:val="23"/>
          <w:szCs w:val="23"/>
        </w:rPr>
        <w:t xml:space="preserve">Huang </w:t>
      </w:r>
      <w:r>
        <w:rPr>
          <w:color w:val="auto"/>
          <w:sz w:val="23"/>
          <w:szCs w:val="23"/>
        </w:rPr>
        <w:t xml:space="preserve">overturned by the House of Lords (see above). Policy is subject to law, not </w:t>
      </w:r>
      <w:r>
        <w:rPr>
          <w:i/>
          <w:iCs/>
          <w:color w:val="auto"/>
          <w:sz w:val="23"/>
          <w:szCs w:val="23"/>
        </w:rPr>
        <w:t>vice versa</w:t>
      </w:r>
      <w:r>
        <w:rPr>
          <w:color w:val="auto"/>
          <w:sz w:val="23"/>
          <w:szCs w:val="23"/>
        </w:rPr>
        <w:t xml:space="preserve">, as the </w:t>
      </w:r>
      <w:smartTag w:uri="urn:schemas-microsoft-com:office:smarttags" w:element="PlaceType">
        <w:r>
          <w:rPr>
            <w:color w:val="auto"/>
            <w:sz w:val="23"/>
            <w:szCs w:val="23"/>
          </w:rPr>
          <w:t>House of Lords/Supreme Court</w:t>
        </w:r>
      </w:smartTag>
      <w:r>
        <w:rPr>
          <w:color w:val="auto"/>
          <w:sz w:val="23"/>
          <w:szCs w:val="23"/>
        </w:rPr>
        <w:t xml:space="preserve"> recognised in </w:t>
      </w:r>
      <w:r>
        <w:rPr>
          <w:i/>
          <w:iCs/>
          <w:color w:val="auto"/>
          <w:sz w:val="23"/>
          <w:szCs w:val="23"/>
        </w:rPr>
        <w:t xml:space="preserve">Huang, Chikwamba </w:t>
      </w:r>
      <w:r>
        <w:rPr>
          <w:color w:val="auto"/>
          <w:sz w:val="23"/>
          <w:szCs w:val="23"/>
        </w:rPr>
        <w:t xml:space="preserve">and </w:t>
      </w:r>
      <w:r>
        <w:rPr>
          <w:i/>
          <w:iCs/>
          <w:color w:val="auto"/>
          <w:sz w:val="23"/>
          <w:szCs w:val="23"/>
        </w:rPr>
        <w:t>Quila</w:t>
      </w:r>
      <w:r>
        <w:rPr>
          <w:color w:val="auto"/>
          <w:sz w:val="23"/>
          <w:szCs w:val="23"/>
        </w:rPr>
        <w:t xml:space="preserve">. The Rules are executive statements of policy; they are not Parliament’s view of where the balance in Article 8 cases lies, as between the State and the individual.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Context </w:t>
      </w:r>
    </w:p>
    <w:p w:rsidR="00F5678F" w:rsidRDefault="00F5678F" w:rsidP="00F5678F">
      <w:pPr>
        <w:pStyle w:val="Default"/>
        <w:rPr>
          <w:color w:val="auto"/>
          <w:sz w:val="23"/>
          <w:szCs w:val="23"/>
        </w:rPr>
      </w:pPr>
      <w:r>
        <w:rPr>
          <w:color w:val="auto"/>
          <w:sz w:val="23"/>
          <w:szCs w:val="23"/>
        </w:rPr>
        <w:t xml:space="preserve">16. Moreover, in the present context, and </w:t>
      </w:r>
      <w:r>
        <w:rPr>
          <w:i/>
          <w:iCs/>
          <w:color w:val="auto"/>
          <w:sz w:val="23"/>
          <w:szCs w:val="23"/>
        </w:rPr>
        <w:t xml:space="preserve">given the nature of the debate before the House of Commons, </w:t>
      </w:r>
      <w:r>
        <w:rPr>
          <w:color w:val="auto"/>
          <w:sz w:val="23"/>
          <w:szCs w:val="23"/>
        </w:rPr>
        <w:t xml:space="preserve">these principled objections to affording the Rules a legislative warrant sufficient to alter the </w:t>
      </w:r>
      <w:r>
        <w:rPr>
          <w:i/>
          <w:iCs/>
          <w:color w:val="auto"/>
          <w:sz w:val="23"/>
          <w:szCs w:val="23"/>
        </w:rPr>
        <w:t xml:space="preserve">Huang </w:t>
      </w:r>
      <w:r>
        <w:rPr>
          <w:color w:val="auto"/>
          <w:sz w:val="23"/>
          <w:szCs w:val="23"/>
        </w:rPr>
        <w:t xml:space="preserve">approach are all the more strong. See R’s Skeleton at §24(c) pp.15-18.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b/>
          <w:bCs/>
          <w:color w:val="auto"/>
          <w:sz w:val="23"/>
          <w:szCs w:val="23"/>
        </w:rPr>
        <w:t xml:space="preserve">(3) No deference </w:t>
      </w:r>
    </w:p>
    <w:p w:rsidR="00F5678F" w:rsidRDefault="00F5678F" w:rsidP="00F5678F">
      <w:pPr>
        <w:pStyle w:val="Default"/>
        <w:rPr>
          <w:color w:val="auto"/>
          <w:sz w:val="23"/>
          <w:szCs w:val="23"/>
        </w:rPr>
      </w:pPr>
      <w:r>
        <w:rPr>
          <w:color w:val="auto"/>
          <w:sz w:val="23"/>
          <w:szCs w:val="23"/>
        </w:rPr>
        <w:t xml:space="preserve">17. In the appellate context, in the ordinary run of immigration cases, there is no basis for deferring to the Secretary of State's view of where the balance lies. Firstly there is the observation of Lord Bingham in </w:t>
      </w:r>
      <w:r>
        <w:rPr>
          <w:i/>
          <w:iCs/>
          <w:color w:val="auto"/>
          <w:sz w:val="23"/>
          <w:szCs w:val="23"/>
        </w:rPr>
        <w:t>Huang</w:t>
      </w:r>
      <w:r>
        <w:rPr>
          <w:color w:val="auto"/>
          <w:sz w:val="23"/>
          <w:szCs w:val="23"/>
        </w:rPr>
        <w:t xml:space="preserve">, at §15, that the appellate authority, having heard evidence under cross examination from the appellant and witness, will very often be </w:t>
      </w:r>
      <w:r>
        <w:rPr>
          <w:i/>
          <w:iCs/>
          <w:color w:val="auto"/>
          <w:sz w:val="23"/>
          <w:szCs w:val="23"/>
        </w:rPr>
        <w:t xml:space="preserve">better </w:t>
      </w:r>
      <w:r>
        <w:rPr>
          <w:color w:val="auto"/>
          <w:sz w:val="23"/>
          <w:szCs w:val="23"/>
        </w:rPr>
        <w:t xml:space="preserve">placed than the Secretary of State in assessing the strength of family life and therefore </w:t>
      </w:r>
      <w:r>
        <w:rPr>
          <w:i/>
          <w:iCs/>
          <w:color w:val="auto"/>
          <w:sz w:val="23"/>
          <w:szCs w:val="23"/>
        </w:rPr>
        <w:t xml:space="preserve">better </w:t>
      </w:r>
      <w:r>
        <w:rPr>
          <w:color w:val="auto"/>
          <w:sz w:val="23"/>
          <w:szCs w:val="23"/>
        </w:rPr>
        <w:t xml:space="preserve">placed that the Secretary of State to perform the Article 8 balancing exercise.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18. Second, there are no </w:t>
      </w:r>
      <w:r>
        <w:rPr>
          <w:i/>
          <w:iCs/>
          <w:color w:val="auto"/>
          <w:sz w:val="23"/>
          <w:szCs w:val="23"/>
        </w:rPr>
        <w:t xml:space="preserve">institutional </w:t>
      </w:r>
      <w:r>
        <w:rPr>
          <w:color w:val="auto"/>
          <w:sz w:val="23"/>
          <w:szCs w:val="23"/>
        </w:rPr>
        <w:t xml:space="preserve">reasons, concerning expertise, for affording deference to the Secretary of State. The specialist appellate authority had long been assigned the task by Parliament to consider, and has built up expertise in assessing, the strength of the case for removal in individual cases </w:t>
      </w:r>
      <w:r>
        <w:rPr>
          <w:i/>
          <w:iCs/>
          <w:color w:val="auto"/>
          <w:sz w:val="23"/>
          <w:szCs w:val="23"/>
        </w:rPr>
        <w:t>on the merits</w:t>
      </w:r>
      <w:r>
        <w:rPr>
          <w:color w:val="auto"/>
          <w:sz w:val="23"/>
          <w:szCs w:val="23"/>
        </w:rPr>
        <w:t>. Contrary to the Secretary of State's further submissions, in an appellate context, she is not the “</w:t>
      </w:r>
      <w:r>
        <w:rPr>
          <w:i/>
          <w:iCs/>
          <w:color w:val="auto"/>
          <w:sz w:val="23"/>
          <w:szCs w:val="23"/>
        </w:rPr>
        <w:t>primary decision-maker</w:t>
      </w:r>
      <w:r>
        <w:rPr>
          <w:color w:val="auto"/>
          <w:sz w:val="23"/>
          <w:szCs w:val="23"/>
        </w:rPr>
        <w:t xml:space="preserve">”. Consider the IAT’s longstanding previous merits jurisdiction under s15 IA 1971 concerning deportation appeals where removal was asserted to be conducive to the public good. Lord Wilson in </w:t>
      </w:r>
      <w:r>
        <w:rPr>
          <w:i/>
          <w:iCs/>
          <w:color w:val="auto"/>
          <w:sz w:val="23"/>
          <w:szCs w:val="23"/>
        </w:rPr>
        <w:t xml:space="preserve">Quila </w:t>
      </w:r>
      <w:r>
        <w:rPr>
          <w:color w:val="auto"/>
          <w:sz w:val="23"/>
          <w:szCs w:val="23"/>
        </w:rPr>
        <w:t xml:space="preserve">at §46 was with respect correct in summarising Lord Bingham in </w:t>
      </w:r>
      <w:r>
        <w:rPr>
          <w:i/>
          <w:iCs/>
          <w:color w:val="auto"/>
          <w:sz w:val="23"/>
          <w:szCs w:val="23"/>
        </w:rPr>
        <w:t xml:space="preserve">Huang, </w:t>
      </w:r>
      <w:r>
        <w:rPr>
          <w:color w:val="auto"/>
          <w:sz w:val="23"/>
          <w:szCs w:val="23"/>
        </w:rPr>
        <w:t xml:space="preserve">at §16, to the effect that </w:t>
      </w:r>
      <w:r>
        <w:rPr>
          <w:i/>
          <w:iCs/>
          <w:color w:val="auto"/>
          <w:sz w:val="23"/>
          <w:szCs w:val="23"/>
        </w:rPr>
        <w:t>appropriate weight had to be given to the Secretary of State’s view “to the extent” that she was likely to have had access to special sources of knowledge and advice</w:t>
      </w:r>
      <w:r>
        <w:rPr>
          <w:color w:val="auto"/>
          <w:sz w:val="23"/>
          <w:szCs w:val="23"/>
        </w:rPr>
        <w:t xml:space="preserv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19. Thirdly, there are no </w:t>
      </w:r>
      <w:r>
        <w:rPr>
          <w:i/>
          <w:iCs/>
          <w:color w:val="auto"/>
          <w:sz w:val="23"/>
          <w:szCs w:val="23"/>
        </w:rPr>
        <w:t xml:space="preserve">constitutional </w:t>
      </w:r>
      <w:r>
        <w:rPr>
          <w:color w:val="auto"/>
          <w:sz w:val="23"/>
          <w:szCs w:val="23"/>
        </w:rPr>
        <w:t xml:space="preserve">reasons, concerning the separation of powers, for affording deference to the Secretary of State. The Tribunal’s jurisdiction to hear merits appeals is of course entirely statutory.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20. Craig, </w:t>
      </w:r>
      <w:r>
        <w:rPr>
          <w:i/>
          <w:iCs/>
          <w:color w:val="auto"/>
          <w:sz w:val="23"/>
          <w:szCs w:val="23"/>
        </w:rPr>
        <w:t>Administrative Law</w:t>
      </w:r>
      <w:r>
        <w:rPr>
          <w:color w:val="auto"/>
          <w:sz w:val="23"/>
          <w:szCs w:val="23"/>
        </w:rPr>
        <w:t>, 7</w:t>
      </w:r>
      <w:r>
        <w:rPr>
          <w:color w:val="auto"/>
          <w:sz w:val="16"/>
          <w:szCs w:val="16"/>
        </w:rPr>
        <w:t xml:space="preserve">th </w:t>
      </w:r>
      <w:r>
        <w:rPr>
          <w:color w:val="auto"/>
          <w:sz w:val="23"/>
          <w:szCs w:val="23"/>
        </w:rPr>
        <w:t xml:space="preserve">edition, 2012 concludes (at 20-036) that the Court owes no deference to the decision maker in an appellate context.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21. Accordingly, there is no reason now to give greater weight to the Secretary of State's assessment of Article 8 considerations in the Rules than there was before HC 194 to the Secretary of State's assessment in individual cases. See R’s Skeleton at §24ff, p.19. The judicial task is not transformed. Still less is it transformed by a set of Rules that blatantly misrepresent the binding learning on Article 8, e.g. as to insurmountable obstacle, exceptionality and so forth. It is ambitious in the extreme to suggest that they “</w:t>
      </w:r>
      <w:r>
        <w:rPr>
          <w:i/>
          <w:iCs/>
          <w:color w:val="auto"/>
          <w:sz w:val="23"/>
          <w:szCs w:val="23"/>
        </w:rPr>
        <w:t xml:space="preserve">incorporate the principles set out in the </w:t>
      </w:r>
      <w:smartTag w:uri="urn:schemas-microsoft-com:office:smarttags" w:element="PlaceType">
        <w:r>
          <w:rPr>
            <w:i/>
            <w:iCs/>
            <w:color w:val="auto"/>
            <w:sz w:val="23"/>
            <w:szCs w:val="23"/>
          </w:rPr>
          <w:t>Strasbourg</w:t>
        </w:r>
      </w:smartTag>
      <w:r>
        <w:rPr>
          <w:i/>
          <w:iCs/>
          <w:color w:val="auto"/>
          <w:sz w:val="23"/>
          <w:szCs w:val="23"/>
        </w:rPr>
        <w:t xml:space="preserve"> jurisprudence</w:t>
      </w:r>
      <w:r>
        <w:rPr>
          <w:color w:val="auto"/>
          <w:sz w:val="23"/>
          <w:szCs w:val="23"/>
        </w:rPr>
        <w:t xml:space="preserve">” (Secretary of State's further submissions).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b/>
          <w:bCs/>
          <w:color w:val="auto"/>
          <w:sz w:val="23"/>
          <w:szCs w:val="23"/>
        </w:rPr>
        <w:t xml:space="preserve">(4) The Rules operate independently of Article 8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22. The balance of the case-law indicates that the Rules operate independently of Article 8. The implicit premise contained in the UT’s question to R is the flip-side of the “near-miss” argument,</w:t>
      </w:r>
      <w:r w:rsidR="00624606">
        <w:rPr>
          <w:color w:val="auto"/>
          <w:sz w:val="23"/>
          <w:szCs w:val="23"/>
        </w:rPr>
        <w:t xml:space="preserve"> which has been rejected by the </w:t>
      </w:r>
      <w:r>
        <w:rPr>
          <w:color w:val="auto"/>
          <w:sz w:val="23"/>
          <w:szCs w:val="23"/>
        </w:rPr>
        <w:t xml:space="preserve">Courts. The success of an Article 8 claim is not to be measured by its proximity to meeting the requirements of the Rules.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23. Thus in </w:t>
      </w:r>
      <w:r>
        <w:rPr>
          <w:i/>
          <w:iCs/>
          <w:color w:val="auto"/>
          <w:sz w:val="23"/>
          <w:szCs w:val="23"/>
        </w:rPr>
        <w:t xml:space="preserve">Miah; Bibi; and Salman v SSHD </w:t>
      </w:r>
      <w:r>
        <w:rPr>
          <w:color w:val="auto"/>
          <w:sz w:val="23"/>
          <w:szCs w:val="23"/>
        </w:rPr>
        <w:t>[2012] EWCA Civ 261; [2012] 3 WLR 492, the Court of Appeal (Maurice Kay, Stanley Burnton, and Lewison LJJ) rejected various submissions based on what it called the “</w:t>
      </w:r>
      <w:r>
        <w:rPr>
          <w:i/>
          <w:iCs/>
          <w:color w:val="auto"/>
          <w:sz w:val="23"/>
          <w:szCs w:val="23"/>
        </w:rPr>
        <w:t>near-miss argument</w:t>
      </w:r>
      <w:r>
        <w:rPr>
          <w:color w:val="auto"/>
          <w:sz w:val="23"/>
          <w:szCs w:val="23"/>
        </w:rPr>
        <w:t>”, delineated by Stanley Burnton LJ at §2 as being “</w:t>
      </w:r>
      <w:r>
        <w:rPr>
          <w:i/>
          <w:iCs/>
          <w:color w:val="auto"/>
          <w:sz w:val="23"/>
          <w:szCs w:val="23"/>
        </w:rPr>
        <w:t>that where an appellant misses satisfying the requirements of the Immigration Rules by a small margin, and contends that his removal from the UK will breach his rights under Article 8, the weight to be given to the maintenance of immigration controls should be diminished for the purpose of the assessment as to whether his removal from this country should be permitted under Article 8(2).</w:t>
      </w:r>
      <w:r>
        <w:rPr>
          <w:color w:val="auto"/>
          <w:sz w:val="23"/>
          <w:szCs w:val="23"/>
        </w:rPr>
        <w:t xml:space="preserve">” The Court held, endorsing earlier decisions in </w:t>
      </w:r>
      <w:r>
        <w:rPr>
          <w:i/>
          <w:iCs/>
          <w:color w:val="auto"/>
          <w:sz w:val="23"/>
          <w:szCs w:val="23"/>
        </w:rPr>
        <w:t xml:space="preserve">Mongoto v SSHD </w:t>
      </w:r>
      <w:r>
        <w:rPr>
          <w:color w:val="auto"/>
          <w:sz w:val="23"/>
          <w:szCs w:val="23"/>
        </w:rPr>
        <w:t xml:space="preserve">[2005] EWCA Civ 751 and </w:t>
      </w:r>
      <w:r>
        <w:rPr>
          <w:i/>
          <w:iCs/>
          <w:color w:val="auto"/>
          <w:sz w:val="23"/>
          <w:szCs w:val="23"/>
        </w:rPr>
        <w:t xml:space="preserve">Rudi v SSHD </w:t>
      </w:r>
      <w:r>
        <w:rPr>
          <w:color w:val="auto"/>
          <w:sz w:val="23"/>
          <w:szCs w:val="23"/>
        </w:rPr>
        <w:t xml:space="preserve">[2007] EWCA Civ 1326, that the existence of the Immigration Rules or of policy in other forms did not enable what Laws LJ, in </w:t>
      </w:r>
      <w:r>
        <w:rPr>
          <w:i/>
          <w:iCs/>
          <w:color w:val="auto"/>
          <w:sz w:val="23"/>
          <w:szCs w:val="23"/>
        </w:rPr>
        <w:t xml:space="preserve">Mongoto </w:t>
      </w:r>
      <w:r>
        <w:rPr>
          <w:color w:val="auto"/>
          <w:sz w:val="23"/>
          <w:szCs w:val="23"/>
        </w:rPr>
        <w:t>at §25, described as “</w:t>
      </w:r>
      <w:r>
        <w:rPr>
          <w:i/>
          <w:iCs/>
          <w:color w:val="auto"/>
          <w:sz w:val="23"/>
          <w:szCs w:val="23"/>
        </w:rPr>
        <w:t>the building of expectations approaching enforceable rights on the back of such a policy for the benefit of persons to whom, in terms, the policy did not apply and, it is assumed, was not intended to be applied…</w:t>
      </w:r>
      <w:r>
        <w:rPr>
          <w:color w:val="auto"/>
          <w:sz w:val="23"/>
          <w:szCs w:val="23"/>
        </w:rPr>
        <w:t xml:space="preserve">” In </w:t>
      </w:r>
      <w:r>
        <w:rPr>
          <w:i/>
          <w:iCs/>
          <w:color w:val="auto"/>
          <w:sz w:val="23"/>
          <w:szCs w:val="23"/>
        </w:rPr>
        <w:t xml:space="preserve">Rudi </w:t>
      </w:r>
      <w:r>
        <w:rPr>
          <w:color w:val="auto"/>
          <w:sz w:val="23"/>
          <w:szCs w:val="23"/>
        </w:rPr>
        <w:t>Carnwath LJ had said of the near-miss argument that “</w:t>
      </w:r>
      <w:r>
        <w:rPr>
          <w:i/>
          <w:iCs/>
          <w:color w:val="auto"/>
          <w:sz w:val="23"/>
          <w:szCs w:val="23"/>
        </w:rPr>
        <w:t>This argument is, in my view, based on a misconception. The Secretary of State is of course entitled to have a policy. The promulgation of the policy normally creates a legitimate expectation that it will be applied to those falling within its scope unless there is good reason for making an exception. So much is trite law. It is also trite law that the existence of the policy does not excuse the decision-maker from due consideration of cases falling outside it. However, the law knows no "near-miss" principle. There is no presumption that those falling just outside the policy should be treated as though they were within it, or given special consideration for that reason.</w:t>
      </w:r>
      <w:r>
        <w:rPr>
          <w:color w:val="auto"/>
          <w:sz w:val="23"/>
          <w:szCs w:val="23"/>
        </w:rPr>
        <w:t xml:space="preserv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24. Similarly, Blake J in </w:t>
      </w:r>
      <w:r>
        <w:rPr>
          <w:i/>
          <w:iCs/>
          <w:color w:val="auto"/>
          <w:sz w:val="23"/>
          <w:szCs w:val="23"/>
        </w:rPr>
        <w:t xml:space="preserve">R (Mansoor) v SSHD </w:t>
      </w:r>
      <w:r>
        <w:rPr>
          <w:color w:val="auto"/>
          <w:sz w:val="23"/>
          <w:szCs w:val="23"/>
        </w:rPr>
        <w:t xml:space="preserve">[2011] EWHC 832 (Admin) expressly rejected the proposition that the Immigration Rules represented in themselves a legitimate aim in their own right and/or themselves came to represent the balance to be struck between the public interest and the rights of the individual: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34. The terms of the immigration regulations are not themselves a legitimate aim within the context of Article 8.2, but as has been repeatedly pointed out maintaining the integrity of our system of immigration control is a means of protecting the economic well-being of the country and may thus justify an interference with family life. Lord Bingham makes the point in Huang that deception and fraud and the perception that our borders should be should be discouraged. The removal of those who commit serious criminal offences, enter unlawfully and in breach of previous orders, and who remain with no colour of an arguable claim to do so may engage more than one legitimate aim within Article 8(2) but protecting the economic well-being of the country is normally the most appropriate bone to consider. </w:t>
      </w:r>
    </w:p>
    <w:p w:rsidR="00F5678F" w:rsidRDefault="00F5678F" w:rsidP="00624606">
      <w:pPr>
        <w:pStyle w:val="Default"/>
        <w:rPr>
          <w:color w:val="auto"/>
        </w:rPr>
      </w:pPr>
    </w:p>
    <w:p w:rsidR="00F5678F" w:rsidRDefault="00F5678F" w:rsidP="00F5678F">
      <w:pPr>
        <w:pStyle w:val="Default"/>
        <w:rPr>
          <w:color w:val="auto"/>
          <w:sz w:val="23"/>
          <w:szCs w:val="23"/>
        </w:rPr>
      </w:pPr>
      <w:r>
        <w:rPr>
          <w:i/>
          <w:iCs/>
          <w:color w:val="auto"/>
          <w:sz w:val="23"/>
          <w:szCs w:val="23"/>
        </w:rPr>
        <w:t xml:space="preserve">35. However the terms of the immigration rules are not a legitimate aim in their own right. Family life is not to be interfered with to protect the Immigration Rules and their numerous requirements. A judgment needs to be made as to how significant the aim, and how far the removal of the particular claimant in the circumstances of her case is necessary to promote that aim. The mere fact that a genuine spouse lawfully admitted with her British citizen husband and settled children can no longer meet one requirement of the rules through no fault of her own is unlikely to amount to a weighty reason to justify interference with family life here that otherwise to be respected. The importance of this observation may be illustrated by the facts of this case. The claimant never got ILR simply because her husband was made redundant and therefore had recourse to public funds to which he and the children were entitled but the claimant, because of the period of time when she was subject to conditional leave, could not have recourse. As Lady Hale has pointed out, general considerations of economic well-being, where other factors are strongly in favour of the claim, are unlikely to be of great weight.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36. The claimant only failed to meet the Rules because she (unlike her children was subject to the two year requirement). This was not a requirement imposed to prohibit general future dependency on state funds, but to guard against insubstantial marriages. This was not a consideration that could apply to the this marriage and this claimant. Certain rules applied to people in different circumstances than the mischief aimed at can have disproportionate outcomes as the Court of Appeal have more recently made plain in the case of Quila &amp; Anr v SSHD [2010] EWCA Civ 1482.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37. Non-compliance with the Immigration Rules is the starting point for human rights analysis, because if you can comply with the rules you do not need to rely on human rights to remain; it is not the end point. The Rules themselves as Lord Bingham has pointed out in Huang, are not the source of balance between the public interest and that of the individual.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i/>
          <w:iCs/>
          <w:color w:val="auto"/>
          <w:sz w:val="23"/>
          <w:szCs w:val="23"/>
        </w:rPr>
        <w:t xml:space="preserve">38. It is thus misdirection for the decision maker to state as in this case, the policy of the immigration regulations justifies interference with family life. It would be of considerable benefit if decision-makers grappled with that point in the future.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This is considered and evidently approved in </w:t>
      </w:r>
      <w:r>
        <w:rPr>
          <w:i/>
          <w:iCs/>
          <w:color w:val="auto"/>
          <w:sz w:val="23"/>
          <w:szCs w:val="23"/>
        </w:rPr>
        <w:t>SSHD v Treebhowan; SSHD v Hayat (</w:t>
      </w:r>
      <w:smartTag w:uri="urn:schemas-microsoft-com:office:smarttags" w:element="PlaceType">
        <w:r>
          <w:rPr>
            <w:i/>
            <w:iCs/>
            <w:color w:val="auto"/>
            <w:sz w:val="23"/>
            <w:szCs w:val="23"/>
          </w:rPr>
          <w:t>Pakistan</w:t>
        </w:r>
      </w:smartTag>
      <w:r>
        <w:rPr>
          <w:i/>
          <w:iCs/>
          <w:color w:val="auto"/>
          <w:sz w:val="23"/>
          <w:szCs w:val="23"/>
        </w:rPr>
        <w:t xml:space="preserve">) </w:t>
      </w:r>
      <w:r>
        <w:rPr>
          <w:color w:val="auto"/>
          <w:sz w:val="23"/>
          <w:szCs w:val="23"/>
        </w:rPr>
        <w:t xml:space="preserve">[2012] EWCA Civ 1054, at §76 per Elias LJ, effectively giving the judgment of the Court. </w:t>
      </w:r>
    </w:p>
    <w:p w:rsidR="00624606" w:rsidRDefault="00624606" w:rsidP="00F5678F">
      <w:pPr>
        <w:pStyle w:val="Default"/>
        <w:rPr>
          <w:color w:val="auto"/>
          <w:sz w:val="23"/>
          <w:szCs w:val="23"/>
        </w:rPr>
      </w:pPr>
    </w:p>
    <w:p w:rsidR="00F5678F" w:rsidRDefault="00F5678F" w:rsidP="00F5678F">
      <w:pPr>
        <w:pStyle w:val="Default"/>
        <w:rPr>
          <w:color w:val="auto"/>
          <w:sz w:val="20"/>
          <w:szCs w:val="20"/>
        </w:rPr>
      </w:pPr>
      <w:r>
        <w:rPr>
          <w:b/>
          <w:bCs/>
          <w:color w:val="auto"/>
          <w:sz w:val="23"/>
          <w:szCs w:val="23"/>
        </w:rPr>
        <w:t xml:space="preserve">(5) The </w:t>
      </w:r>
      <w:smartTag w:uri="urn:schemas-microsoft-com:office:smarttags" w:element="PlaceType">
        <w:r>
          <w:rPr>
            <w:b/>
            <w:bCs/>
            <w:color w:val="auto"/>
            <w:sz w:val="23"/>
            <w:szCs w:val="23"/>
          </w:rPr>
          <w:t>Strasbourg</w:t>
        </w:r>
      </w:smartTag>
      <w:r>
        <w:rPr>
          <w:b/>
          <w:bCs/>
          <w:color w:val="auto"/>
          <w:sz w:val="23"/>
          <w:szCs w:val="23"/>
        </w:rPr>
        <w:t xml:space="preserve"> approach does not vary according to the stringency of local immigration laws </w:t>
      </w:r>
      <w:r>
        <w:rPr>
          <w:color w:val="auto"/>
          <w:sz w:val="20"/>
          <w:szCs w:val="20"/>
        </w:rPr>
        <w:t xml:space="preserve"> </w:t>
      </w:r>
    </w:p>
    <w:p w:rsidR="00F5678F" w:rsidRDefault="00F5678F" w:rsidP="00F5678F">
      <w:pPr>
        <w:pStyle w:val="Default"/>
        <w:rPr>
          <w:color w:val="auto"/>
        </w:rPr>
      </w:pPr>
    </w:p>
    <w:p w:rsidR="00F5678F" w:rsidRDefault="00F5678F" w:rsidP="00F5678F">
      <w:pPr>
        <w:pStyle w:val="Default"/>
        <w:pageBreakBefore/>
        <w:rPr>
          <w:color w:val="auto"/>
        </w:rPr>
      </w:pPr>
    </w:p>
    <w:p w:rsidR="00F5678F" w:rsidRDefault="00F5678F" w:rsidP="00F5678F">
      <w:pPr>
        <w:pStyle w:val="Default"/>
        <w:rPr>
          <w:color w:val="auto"/>
          <w:sz w:val="23"/>
          <w:szCs w:val="23"/>
        </w:rPr>
      </w:pPr>
      <w:r>
        <w:rPr>
          <w:color w:val="auto"/>
          <w:sz w:val="23"/>
          <w:szCs w:val="23"/>
        </w:rPr>
        <w:t xml:space="preserve">25. The point can be tested by considering the approach in </w:t>
      </w:r>
      <w:smartTag w:uri="urn:schemas-microsoft-com:office:smarttags" w:element="PlaceType">
        <w:r>
          <w:rPr>
            <w:color w:val="auto"/>
            <w:sz w:val="23"/>
            <w:szCs w:val="23"/>
          </w:rPr>
          <w:t>Strasbourg</w:t>
        </w:r>
      </w:smartTag>
      <w:r>
        <w:rPr>
          <w:color w:val="auto"/>
          <w:sz w:val="23"/>
          <w:szCs w:val="23"/>
        </w:rPr>
        <w:t xml:space="preserve"> to Article 8 cases. The </w:t>
      </w:r>
      <w:smartTag w:uri="urn:schemas-microsoft-com:office:smarttags" w:element="PlaceType">
        <w:r>
          <w:rPr>
            <w:color w:val="auto"/>
            <w:sz w:val="23"/>
            <w:szCs w:val="23"/>
          </w:rPr>
          <w:t>Strasbourg Court</w:t>
        </w:r>
      </w:smartTag>
      <w:r>
        <w:rPr>
          <w:color w:val="auto"/>
          <w:sz w:val="23"/>
          <w:szCs w:val="23"/>
        </w:rPr>
        <w:t xml:space="preserve">’s approach does not vary according to the stringency of the municipal immigration policy at issue. The assessment of Article 8 is independent of local policy.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b/>
          <w:bCs/>
          <w:color w:val="auto"/>
          <w:sz w:val="23"/>
          <w:szCs w:val="23"/>
        </w:rPr>
        <w:t xml:space="preserve">(6) Further matters </w:t>
      </w:r>
    </w:p>
    <w:p w:rsidR="00624606" w:rsidRDefault="00624606"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26. The Secretary of State’s reliance on extradition authority (</w:t>
      </w:r>
      <w:r>
        <w:rPr>
          <w:i/>
          <w:iCs/>
          <w:color w:val="auto"/>
          <w:sz w:val="23"/>
          <w:szCs w:val="23"/>
        </w:rPr>
        <w:t xml:space="preserve">HH v Deputy Prosecutor of the </w:t>
      </w:r>
      <w:smartTag w:uri="urn:schemas-microsoft-com:office:smarttags" w:element="PlaceType">
        <w:r>
          <w:rPr>
            <w:i/>
            <w:iCs/>
            <w:color w:val="auto"/>
            <w:sz w:val="23"/>
            <w:szCs w:val="23"/>
          </w:rPr>
          <w:t>Italian</w:t>
        </w:r>
      </w:smartTag>
      <w:r>
        <w:rPr>
          <w:i/>
          <w:iCs/>
          <w:color w:val="auto"/>
          <w:sz w:val="23"/>
          <w:szCs w:val="23"/>
        </w:rPr>
        <w:t xml:space="preserve"> </w:t>
      </w:r>
      <w:smartTag w:uri="urn:schemas-microsoft-com:office:smarttags" w:element="PlaceType">
        <w:r>
          <w:rPr>
            <w:i/>
            <w:iCs/>
            <w:color w:val="auto"/>
            <w:sz w:val="23"/>
            <w:szCs w:val="23"/>
          </w:rPr>
          <w:t>Republic</w:t>
        </w:r>
      </w:smartTag>
      <w:r>
        <w:rPr>
          <w:i/>
          <w:iCs/>
          <w:color w:val="auto"/>
          <w:sz w:val="23"/>
          <w:szCs w:val="23"/>
        </w:rPr>
        <w:t xml:space="preserve">, </w:t>
      </w:r>
      <w:smartTag w:uri="urn:schemas-microsoft-com:office:smarttags" w:element="PlaceType">
        <w:r>
          <w:rPr>
            <w:i/>
            <w:iCs/>
            <w:color w:val="auto"/>
            <w:sz w:val="23"/>
            <w:szCs w:val="23"/>
          </w:rPr>
          <w:t>Genoa</w:t>
        </w:r>
      </w:smartTag>
      <w:r>
        <w:rPr>
          <w:i/>
          <w:iCs/>
          <w:color w:val="auto"/>
          <w:sz w:val="23"/>
          <w:szCs w:val="23"/>
        </w:rPr>
        <w:t xml:space="preserve"> </w:t>
      </w:r>
      <w:r>
        <w:rPr>
          <w:color w:val="auto"/>
          <w:sz w:val="23"/>
          <w:szCs w:val="23"/>
        </w:rPr>
        <w:t xml:space="preserve">[2012] UKSC 25; [2012] 3 WLR 90) is telling. Plainly nothing in </w:t>
      </w:r>
      <w:r>
        <w:rPr>
          <w:i/>
          <w:iCs/>
          <w:color w:val="auto"/>
          <w:sz w:val="23"/>
          <w:szCs w:val="23"/>
        </w:rPr>
        <w:t xml:space="preserve">HH </w:t>
      </w:r>
      <w:r>
        <w:rPr>
          <w:color w:val="auto"/>
          <w:sz w:val="23"/>
          <w:szCs w:val="23"/>
        </w:rPr>
        <w:t xml:space="preserve">was intended to nor did alter the approach in the </w:t>
      </w:r>
      <w:smartTag w:uri="urn:schemas-microsoft-com:office:smarttags" w:element="PlaceType">
        <w:r>
          <w:rPr>
            <w:color w:val="auto"/>
            <w:sz w:val="23"/>
            <w:szCs w:val="23"/>
          </w:rPr>
          <w:t>House of Lords/Supreme Court</w:t>
        </w:r>
      </w:smartTag>
      <w:r>
        <w:rPr>
          <w:color w:val="auto"/>
          <w:sz w:val="23"/>
          <w:szCs w:val="23"/>
        </w:rPr>
        <w:t xml:space="preserve"> </w:t>
      </w:r>
      <w:r>
        <w:rPr>
          <w:i/>
          <w:iCs/>
          <w:color w:val="auto"/>
          <w:sz w:val="23"/>
          <w:szCs w:val="23"/>
        </w:rPr>
        <w:t xml:space="preserve">immigration </w:t>
      </w:r>
      <w:r>
        <w:rPr>
          <w:color w:val="auto"/>
          <w:sz w:val="23"/>
          <w:szCs w:val="23"/>
        </w:rPr>
        <w:t xml:space="preserve">Article 8 cases.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27. The Secretary of State's concession in </w:t>
      </w:r>
      <w:r>
        <w:rPr>
          <w:i/>
          <w:iCs/>
          <w:color w:val="auto"/>
          <w:sz w:val="23"/>
          <w:szCs w:val="23"/>
        </w:rPr>
        <w:t xml:space="preserve">Sanade and others (British children –Zambrano – Dereci) </w:t>
      </w:r>
      <w:r>
        <w:rPr>
          <w:color w:val="auto"/>
          <w:sz w:val="23"/>
          <w:szCs w:val="23"/>
        </w:rPr>
        <w:t xml:space="preserve">[2012] UKUT 48 (IAC) at §94 was well made. It will be unreasonable – and a denial of EU citizenship and local nationality - to expect an EU citizen to move to a country outside the EU as the price for maintaining family life. This is the logical result of the trio of CJEU cases in </w:t>
      </w:r>
      <w:r>
        <w:rPr>
          <w:i/>
          <w:iCs/>
          <w:color w:val="auto"/>
          <w:sz w:val="23"/>
          <w:szCs w:val="23"/>
        </w:rPr>
        <w:t xml:space="preserve">Ruiz Zambrano (European citizenship) [2011] EUECJ Case C-34/09 OJ 2011 C130/2; </w:t>
      </w:r>
      <w:r>
        <w:rPr>
          <w:color w:val="auto"/>
          <w:sz w:val="23"/>
          <w:szCs w:val="23"/>
        </w:rPr>
        <w:t>[2012] QB 265</w:t>
      </w:r>
      <w:r>
        <w:rPr>
          <w:i/>
          <w:iCs/>
          <w:color w:val="auto"/>
          <w:sz w:val="23"/>
          <w:szCs w:val="23"/>
        </w:rPr>
        <w:t xml:space="preserve">, McCarthy (European citizenship) </w:t>
      </w:r>
      <w:r>
        <w:rPr>
          <w:color w:val="auto"/>
          <w:sz w:val="23"/>
          <w:szCs w:val="23"/>
        </w:rPr>
        <w:t xml:space="preserve">[2011] EUECJ C-434/09; [2011] 3 CMLR 10 and </w:t>
      </w:r>
      <w:r>
        <w:rPr>
          <w:i/>
          <w:iCs/>
          <w:color w:val="auto"/>
          <w:sz w:val="23"/>
          <w:szCs w:val="23"/>
        </w:rPr>
        <w:t xml:space="preserve">Dereci &amp; Ors (European citizenship) </w:t>
      </w:r>
      <w:r>
        <w:rPr>
          <w:color w:val="auto"/>
          <w:sz w:val="23"/>
          <w:szCs w:val="23"/>
        </w:rPr>
        <w:t xml:space="preserve">[2011] EUECJ C-256/11.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28. This factor was not weighed by the FTT and adds to the harshness of expected R’s husband to relocate to </w:t>
      </w:r>
      <w:smartTag w:uri="urn:schemas-microsoft-com:office:smarttags" w:element="PlaceType">
        <w:r>
          <w:rPr>
            <w:color w:val="auto"/>
            <w:sz w:val="23"/>
            <w:szCs w:val="23"/>
          </w:rPr>
          <w:t>Nigeria</w:t>
        </w:r>
      </w:smartTag>
      <w:r>
        <w:rPr>
          <w:color w:val="auto"/>
          <w:sz w:val="23"/>
          <w:szCs w:val="23"/>
        </w:rPr>
        <w:t xml:space="preserve">. It also heightens the threshold of justification which the Secretary of State is required to meet to justify R’s expulsion and the separation of the couple. </w:t>
      </w:r>
    </w:p>
    <w:p w:rsidR="00F5678F" w:rsidRDefault="00F5678F" w:rsidP="00F5678F">
      <w:pPr>
        <w:pStyle w:val="Default"/>
        <w:rPr>
          <w:color w:val="auto"/>
          <w:sz w:val="23"/>
          <w:szCs w:val="23"/>
        </w:rPr>
      </w:pPr>
    </w:p>
    <w:p w:rsidR="00F5678F" w:rsidRDefault="00F5678F" w:rsidP="00F5678F">
      <w:pPr>
        <w:pStyle w:val="Default"/>
        <w:rPr>
          <w:b/>
          <w:bCs/>
          <w:color w:val="auto"/>
          <w:sz w:val="23"/>
          <w:szCs w:val="23"/>
        </w:rPr>
      </w:pPr>
      <w:r>
        <w:rPr>
          <w:b/>
          <w:bCs/>
          <w:color w:val="auto"/>
          <w:sz w:val="23"/>
          <w:szCs w:val="23"/>
        </w:rPr>
        <w:t xml:space="preserve">Conclusion </w:t>
      </w:r>
    </w:p>
    <w:p w:rsidR="0068188E" w:rsidRDefault="0068188E" w:rsidP="00F5678F">
      <w:pPr>
        <w:pStyle w:val="Default"/>
        <w:rPr>
          <w:color w:val="auto"/>
          <w:sz w:val="23"/>
          <w:szCs w:val="23"/>
        </w:rPr>
      </w:pPr>
    </w:p>
    <w:p w:rsidR="00F5678F" w:rsidRDefault="00F5678F" w:rsidP="00F5678F">
      <w:pPr>
        <w:pStyle w:val="Default"/>
        <w:rPr>
          <w:color w:val="auto"/>
          <w:sz w:val="23"/>
          <w:szCs w:val="23"/>
        </w:rPr>
      </w:pPr>
      <w:r>
        <w:rPr>
          <w:color w:val="auto"/>
          <w:sz w:val="23"/>
          <w:szCs w:val="23"/>
        </w:rPr>
        <w:t xml:space="preserve">29. Article 8 is a fundamental right, upon which there are authoritative statements of law which HC 194 crudely seeks to challenge. Fundamental rights and the law are not subject to the vicissitudes and political expedients of executive policy. HC 194 does nothing to alter the approach to Article 8 in an appeal as a matter of law. </w:t>
      </w:r>
    </w:p>
    <w:p w:rsidR="00F5678F" w:rsidRDefault="00F5678F" w:rsidP="00F5678F">
      <w:pPr>
        <w:pStyle w:val="Default"/>
        <w:rPr>
          <w:color w:val="auto"/>
          <w:sz w:val="23"/>
          <w:szCs w:val="23"/>
        </w:rPr>
      </w:pPr>
    </w:p>
    <w:p w:rsidR="00F5678F" w:rsidRDefault="00F5678F" w:rsidP="00F5678F">
      <w:pPr>
        <w:pStyle w:val="Default"/>
        <w:rPr>
          <w:color w:val="auto"/>
          <w:sz w:val="23"/>
          <w:szCs w:val="23"/>
        </w:rPr>
      </w:pPr>
      <w:r>
        <w:rPr>
          <w:b/>
          <w:bCs/>
          <w:color w:val="auto"/>
          <w:sz w:val="23"/>
          <w:szCs w:val="23"/>
        </w:rPr>
        <w:t xml:space="preserve">RAZA HUSAIN QC </w:t>
      </w:r>
    </w:p>
    <w:p w:rsidR="00F5678F" w:rsidRDefault="00F5678F" w:rsidP="00F5678F">
      <w:pPr>
        <w:pStyle w:val="Default"/>
        <w:rPr>
          <w:color w:val="auto"/>
          <w:sz w:val="23"/>
          <w:szCs w:val="23"/>
        </w:rPr>
      </w:pPr>
      <w:r>
        <w:rPr>
          <w:b/>
          <w:bCs/>
          <w:color w:val="auto"/>
          <w:sz w:val="23"/>
          <w:szCs w:val="23"/>
        </w:rPr>
        <w:t xml:space="preserve">Matrix Chambers </w:t>
      </w:r>
    </w:p>
    <w:p w:rsidR="00F5678F" w:rsidRDefault="00F5678F" w:rsidP="00F5678F">
      <w:pPr>
        <w:pStyle w:val="Default"/>
        <w:rPr>
          <w:color w:val="auto"/>
          <w:sz w:val="23"/>
          <w:szCs w:val="23"/>
        </w:rPr>
      </w:pPr>
      <w:r>
        <w:rPr>
          <w:b/>
          <w:bCs/>
          <w:color w:val="auto"/>
          <w:sz w:val="23"/>
          <w:szCs w:val="23"/>
        </w:rPr>
        <w:t xml:space="preserve">ERIC FRIPP </w:t>
      </w:r>
    </w:p>
    <w:p w:rsidR="00F5678F" w:rsidRDefault="00F5678F" w:rsidP="00F5678F">
      <w:pPr>
        <w:pStyle w:val="Default"/>
        <w:rPr>
          <w:color w:val="auto"/>
          <w:sz w:val="23"/>
          <w:szCs w:val="23"/>
        </w:rPr>
      </w:pPr>
      <w:smartTag w:uri="urn:schemas-microsoft-com:office:smarttags" w:element="PlaceType">
        <w:smartTag w:uri="urn:schemas-microsoft-com:office:smarttags" w:element="PlaceType">
          <w:r>
            <w:rPr>
              <w:b/>
              <w:bCs/>
              <w:color w:val="auto"/>
              <w:sz w:val="23"/>
              <w:szCs w:val="23"/>
            </w:rPr>
            <w:t>Lamb</w:t>
          </w:r>
        </w:smartTag>
        <w:r>
          <w:rPr>
            <w:b/>
            <w:bCs/>
            <w:color w:val="auto"/>
            <w:sz w:val="23"/>
            <w:szCs w:val="23"/>
          </w:rPr>
          <w:t xml:space="preserve"> </w:t>
        </w:r>
        <w:smartTag w:uri="urn:schemas-microsoft-com:office:smarttags" w:element="PlaceType">
          <w:r>
            <w:rPr>
              <w:b/>
              <w:bCs/>
              <w:color w:val="auto"/>
              <w:sz w:val="23"/>
              <w:szCs w:val="23"/>
            </w:rPr>
            <w:t>Building</w:t>
          </w:r>
        </w:smartTag>
      </w:smartTag>
      <w:r>
        <w:rPr>
          <w:b/>
          <w:bCs/>
          <w:color w:val="auto"/>
          <w:sz w:val="23"/>
          <w:szCs w:val="23"/>
        </w:rPr>
        <w:t xml:space="preserve"> </w:t>
      </w:r>
    </w:p>
    <w:p w:rsidR="00624606" w:rsidRDefault="00624606" w:rsidP="00F5678F">
      <w:pPr>
        <w:pStyle w:val="Default"/>
        <w:rPr>
          <w:b/>
          <w:bCs/>
          <w:color w:val="auto"/>
          <w:sz w:val="23"/>
          <w:szCs w:val="23"/>
        </w:rPr>
      </w:pPr>
    </w:p>
    <w:p w:rsidR="00F5678F" w:rsidRDefault="00F5678F" w:rsidP="00F5678F">
      <w:pPr>
        <w:pStyle w:val="Default"/>
        <w:rPr>
          <w:color w:val="auto"/>
          <w:sz w:val="23"/>
          <w:szCs w:val="23"/>
        </w:rPr>
      </w:pPr>
      <w:r>
        <w:rPr>
          <w:b/>
          <w:bCs/>
          <w:color w:val="auto"/>
          <w:sz w:val="23"/>
          <w:szCs w:val="23"/>
        </w:rPr>
        <w:t xml:space="preserve">Instructed by </w:t>
      </w:r>
    </w:p>
    <w:p w:rsidR="00F5678F" w:rsidRDefault="00F5678F" w:rsidP="00F5678F">
      <w:pPr>
        <w:pStyle w:val="Default"/>
        <w:rPr>
          <w:color w:val="auto"/>
          <w:sz w:val="23"/>
          <w:szCs w:val="23"/>
        </w:rPr>
      </w:pPr>
      <w:r>
        <w:rPr>
          <w:b/>
          <w:bCs/>
          <w:color w:val="auto"/>
          <w:sz w:val="23"/>
          <w:szCs w:val="23"/>
        </w:rPr>
        <w:t xml:space="preserve">JAWAID LUQMANI </w:t>
      </w:r>
    </w:p>
    <w:p w:rsidR="00F5678F" w:rsidRDefault="00F5678F" w:rsidP="00F5678F">
      <w:pPr>
        <w:pStyle w:val="Default"/>
        <w:rPr>
          <w:color w:val="auto"/>
          <w:sz w:val="23"/>
          <w:szCs w:val="23"/>
        </w:rPr>
      </w:pPr>
      <w:r>
        <w:rPr>
          <w:b/>
          <w:bCs/>
          <w:color w:val="auto"/>
          <w:sz w:val="23"/>
          <w:szCs w:val="23"/>
        </w:rPr>
        <w:t xml:space="preserve">Luqmani Thompson and Partners </w:t>
      </w:r>
    </w:p>
    <w:p w:rsidR="00624606" w:rsidRDefault="00624606" w:rsidP="00F5678F">
      <w:pPr>
        <w:tabs>
          <w:tab w:val="left" w:pos="567"/>
        </w:tabs>
        <w:jc w:val="both"/>
        <w:rPr>
          <w:b/>
          <w:bCs/>
          <w:sz w:val="23"/>
          <w:szCs w:val="23"/>
        </w:rPr>
      </w:pPr>
    </w:p>
    <w:p w:rsidR="00624606" w:rsidRDefault="00624606" w:rsidP="00F5678F">
      <w:pPr>
        <w:tabs>
          <w:tab w:val="left" w:pos="567"/>
        </w:tabs>
        <w:jc w:val="both"/>
        <w:rPr>
          <w:b/>
          <w:bCs/>
          <w:sz w:val="23"/>
          <w:szCs w:val="23"/>
        </w:rPr>
      </w:pPr>
    </w:p>
    <w:p w:rsidR="00F5678F" w:rsidRDefault="00F5678F" w:rsidP="00F5678F">
      <w:pPr>
        <w:tabs>
          <w:tab w:val="left" w:pos="567"/>
        </w:tabs>
        <w:jc w:val="both"/>
        <w:rPr>
          <w:rFonts w:ascii="Book Antiqua" w:hAnsi="Book Antiqua" w:cs="Arial"/>
        </w:rPr>
      </w:pPr>
      <w:r>
        <w:rPr>
          <w:b/>
          <w:bCs/>
          <w:sz w:val="23"/>
          <w:szCs w:val="23"/>
        </w:rPr>
        <w:t>30 October 2012</w:t>
      </w:r>
    </w:p>
    <w:sectPr w:rsidR="00F5678F" w:rsidSect="00776E97">
      <w:headerReference w:type="default" r:id="rId7"/>
      <w:footerReference w:type="default" r:id="rId8"/>
      <w:footerReference w:type="first" r:id="rId9"/>
      <w:pgSz w:w="11906" w:h="16838"/>
      <w:pgMar w:top="1440" w:right="1134" w:bottom="14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F6" w:rsidRDefault="00BF2AF6">
      <w:r>
        <w:separator/>
      </w:r>
    </w:p>
  </w:endnote>
  <w:endnote w:type="continuationSeparator" w:id="0">
    <w:p w:rsidR="00BF2AF6" w:rsidRDefault="00BF2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62" w:rsidRPr="00593795" w:rsidRDefault="00663262" w:rsidP="00593795">
    <w:pPr>
      <w:pStyle w:val="Footer"/>
      <w:jc w:val="center"/>
      <w:rPr>
        <w:rFonts w:ascii="Arial" w:hAnsi="Arial" w:cs="Arial"/>
        <w:sz w:val="16"/>
        <w:szCs w:val="16"/>
      </w:rPr>
    </w:pPr>
    <w:r w:rsidRPr="00593795">
      <w:rPr>
        <w:rStyle w:val="PageNumber"/>
        <w:rFonts w:ascii="Arial" w:hAnsi="Arial" w:cs="Arial"/>
        <w:sz w:val="16"/>
        <w:szCs w:val="16"/>
      </w:rPr>
      <w:fldChar w:fldCharType="begin"/>
    </w:r>
    <w:r w:rsidRPr="00593795">
      <w:rPr>
        <w:rStyle w:val="PageNumber"/>
        <w:rFonts w:ascii="Arial" w:hAnsi="Arial" w:cs="Arial"/>
        <w:sz w:val="16"/>
        <w:szCs w:val="16"/>
      </w:rPr>
      <w:instrText xml:space="preserve"> PAGE </w:instrText>
    </w:r>
    <w:r w:rsidRPr="00593795">
      <w:rPr>
        <w:rStyle w:val="PageNumber"/>
        <w:rFonts w:ascii="Arial" w:hAnsi="Arial" w:cs="Arial"/>
        <w:sz w:val="16"/>
        <w:szCs w:val="16"/>
      </w:rPr>
      <w:fldChar w:fldCharType="separate"/>
    </w:r>
    <w:r w:rsidR="00EC442E">
      <w:rPr>
        <w:rStyle w:val="PageNumber"/>
        <w:rFonts w:ascii="Arial" w:hAnsi="Arial" w:cs="Arial"/>
        <w:noProof/>
        <w:sz w:val="16"/>
        <w:szCs w:val="16"/>
      </w:rPr>
      <w:t>2</w:t>
    </w:r>
    <w:r w:rsidRPr="00593795">
      <w:rPr>
        <w:rStyle w:val="PageNumbe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62" w:rsidRPr="00090CF9" w:rsidRDefault="00663262" w:rsidP="00090CF9">
    <w:pPr>
      <w:jc w:val="center"/>
      <w:rPr>
        <w:rFonts w:ascii="Arial" w:hAnsi="Arial" w:cs="Arial"/>
        <w:b/>
      </w:rPr>
    </w:pPr>
    <w:r w:rsidRPr="00090CF9">
      <w:rPr>
        <w:rFonts w:ascii="Arial" w:hAnsi="Arial" w:cs="Arial"/>
        <w:b/>
        <w:spacing w:val="-6"/>
      </w:rPr>
      <w:t>©</w:t>
    </w:r>
    <w:r>
      <w:rPr>
        <w:rFonts w:ascii="Arial" w:hAnsi="Arial" w:cs="Arial"/>
        <w:b/>
      </w:rPr>
      <w:t xml:space="preserve"> CROWN COPYRIGHT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F6" w:rsidRDefault="00BF2AF6">
      <w:r>
        <w:separator/>
      </w:r>
    </w:p>
  </w:footnote>
  <w:footnote w:type="continuationSeparator" w:id="0">
    <w:p w:rsidR="00BF2AF6" w:rsidRDefault="00BF2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62" w:rsidRPr="00F97703" w:rsidRDefault="00663262" w:rsidP="005A0405">
    <w:pPr>
      <w:tabs>
        <w:tab w:val="right" w:pos="9720"/>
      </w:tabs>
      <w:ind w:right="-82"/>
      <w:rPr>
        <w:rFonts w:ascii="Book Antiqua" w:hAnsi="Book Antiqua" w:cs="Arial"/>
        <w:color w:val="000000"/>
      </w:rPr>
    </w:pPr>
    <w:r>
      <w:rPr>
        <w:rFonts w:ascii="Arial" w:hAnsi="Arial" w:cs="Arial"/>
        <w:sz w:val="16"/>
        <w:szCs w:val="16"/>
      </w:rPr>
      <w:t xml:space="preserve">                                                                                                                                                         </w:t>
    </w:r>
  </w:p>
  <w:p w:rsidR="00663262" w:rsidRPr="003C5CE5" w:rsidRDefault="00663262" w:rsidP="005A0405">
    <w:pPr>
      <w:pStyle w:val="Heade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E89"/>
    <w:multiLevelType w:val="hybridMultilevel"/>
    <w:tmpl w:val="D16CDCE2"/>
    <w:lvl w:ilvl="0" w:tplc="73026EB0">
      <w:start w:val="2"/>
      <w:numFmt w:val="lowerRoman"/>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
    <w:nsid w:val="14D60EB8"/>
    <w:multiLevelType w:val="multilevel"/>
    <w:tmpl w:val="7760345E"/>
    <w:lvl w:ilvl="0">
      <w:start w:val="1"/>
      <w:numFmt w:val="decimal"/>
      <w:lvlText w:val="%1."/>
      <w:lvlJc w:val="left"/>
      <w:pPr>
        <w:tabs>
          <w:tab w:val="num" w:pos="567"/>
        </w:tabs>
        <w:ind w:left="567" w:hanging="567"/>
      </w:pPr>
      <w:rPr>
        <w:rFonts w:cs="Times New Roman" w:hint="default"/>
        <w:b w:val="0"/>
      </w:rPr>
    </w:lvl>
    <w:lvl w:ilvl="1">
      <w:start w:val="1"/>
      <w:numFmt w:val="lowerRoman"/>
      <w:lvlText w:val="(%2)"/>
      <w:lvlJc w:val="left"/>
      <w:pPr>
        <w:tabs>
          <w:tab w:val="num" w:pos="1134"/>
        </w:tabs>
        <w:ind w:left="1134" w:hanging="567"/>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AB00F05"/>
    <w:multiLevelType w:val="multilevel"/>
    <w:tmpl w:val="CB8C3F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840F33"/>
    <w:multiLevelType w:val="hybridMultilevel"/>
    <w:tmpl w:val="39B8BAB6"/>
    <w:lvl w:ilvl="0" w:tplc="40D2074C">
      <w:start w:val="28"/>
      <w:numFmt w:val="decimal"/>
      <w:lvlText w:val="%1."/>
      <w:lvlJc w:val="left"/>
      <w:pPr>
        <w:tabs>
          <w:tab w:val="num" w:pos="1500"/>
        </w:tabs>
        <w:ind w:left="1500" w:hanging="360"/>
      </w:pPr>
      <w:rPr>
        <w:rFonts w:cs="Times New Roman" w:hint="default"/>
      </w:rPr>
    </w:lvl>
    <w:lvl w:ilvl="1" w:tplc="08090019">
      <w:start w:val="1"/>
      <w:numFmt w:val="lowerLetter"/>
      <w:lvlText w:val="%2."/>
      <w:lvlJc w:val="left"/>
      <w:pPr>
        <w:tabs>
          <w:tab w:val="num" w:pos="2220"/>
        </w:tabs>
        <w:ind w:left="2220" w:hanging="360"/>
      </w:pPr>
      <w:rPr>
        <w:rFonts w:cs="Times New Roman"/>
      </w:rPr>
    </w:lvl>
    <w:lvl w:ilvl="2" w:tplc="0809001B">
      <w:start w:val="1"/>
      <w:numFmt w:val="lowerRoman"/>
      <w:lvlText w:val="%3."/>
      <w:lvlJc w:val="right"/>
      <w:pPr>
        <w:tabs>
          <w:tab w:val="num" w:pos="2940"/>
        </w:tabs>
        <w:ind w:left="2940" w:hanging="180"/>
      </w:pPr>
      <w:rPr>
        <w:rFonts w:cs="Times New Roman"/>
      </w:rPr>
    </w:lvl>
    <w:lvl w:ilvl="3" w:tplc="0809000F" w:tentative="1">
      <w:start w:val="1"/>
      <w:numFmt w:val="decimal"/>
      <w:lvlText w:val="%4."/>
      <w:lvlJc w:val="left"/>
      <w:pPr>
        <w:tabs>
          <w:tab w:val="num" w:pos="3660"/>
        </w:tabs>
        <w:ind w:left="3660" w:hanging="360"/>
      </w:pPr>
      <w:rPr>
        <w:rFonts w:cs="Times New Roman"/>
      </w:rPr>
    </w:lvl>
    <w:lvl w:ilvl="4" w:tplc="08090019" w:tentative="1">
      <w:start w:val="1"/>
      <w:numFmt w:val="lowerLetter"/>
      <w:lvlText w:val="%5."/>
      <w:lvlJc w:val="left"/>
      <w:pPr>
        <w:tabs>
          <w:tab w:val="num" w:pos="4380"/>
        </w:tabs>
        <w:ind w:left="4380" w:hanging="360"/>
      </w:pPr>
      <w:rPr>
        <w:rFonts w:cs="Times New Roman"/>
      </w:rPr>
    </w:lvl>
    <w:lvl w:ilvl="5" w:tplc="0809001B" w:tentative="1">
      <w:start w:val="1"/>
      <w:numFmt w:val="lowerRoman"/>
      <w:lvlText w:val="%6."/>
      <w:lvlJc w:val="right"/>
      <w:pPr>
        <w:tabs>
          <w:tab w:val="num" w:pos="5100"/>
        </w:tabs>
        <w:ind w:left="5100" w:hanging="180"/>
      </w:pPr>
      <w:rPr>
        <w:rFonts w:cs="Times New Roman"/>
      </w:rPr>
    </w:lvl>
    <w:lvl w:ilvl="6" w:tplc="0809000F" w:tentative="1">
      <w:start w:val="1"/>
      <w:numFmt w:val="decimal"/>
      <w:lvlText w:val="%7."/>
      <w:lvlJc w:val="left"/>
      <w:pPr>
        <w:tabs>
          <w:tab w:val="num" w:pos="5820"/>
        </w:tabs>
        <w:ind w:left="5820" w:hanging="360"/>
      </w:pPr>
      <w:rPr>
        <w:rFonts w:cs="Times New Roman"/>
      </w:rPr>
    </w:lvl>
    <w:lvl w:ilvl="7" w:tplc="08090019" w:tentative="1">
      <w:start w:val="1"/>
      <w:numFmt w:val="lowerLetter"/>
      <w:lvlText w:val="%8."/>
      <w:lvlJc w:val="left"/>
      <w:pPr>
        <w:tabs>
          <w:tab w:val="num" w:pos="6540"/>
        </w:tabs>
        <w:ind w:left="6540" w:hanging="360"/>
      </w:pPr>
      <w:rPr>
        <w:rFonts w:cs="Times New Roman"/>
      </w:rPr>
    </w:lvl>
    <w:lvl w:ilvl="8" w:tplc="0809001B" w:tentative="1">
      <w:start w:val="1"/>
      <w:numFmt w:val="lowerRoman"/>
      <w:lvlText w:val="%9."/>
      <w:lvlJc w:val="right"/>
      <w:pPr>
        <w:tabs>
          <w:tab w:val="num" w:pos="7260"/>
        </w:tabs>
        <w:ind w:left="7260" w:hanging="180"/>
      </w:pPr>
      <w:rPr>
        <w:rFonts w:cs="Times New Roman"/>
      </w:rPr>
    </w:lvl>
  </w:abstractNum>
  <w:abstractNum w:abstractNumId="4">
    <w:nsid w:val="1EE61A3F"/>
    <w:multiLevelType w:val="hybridMultilevel"/>
    <w:tmpl w:val="1D9C5F9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AE6D32"/>
    <w:multiLevelType w:val="hybridMultilevel"/>
    <w:tmpl w:val="EA6A794A"/>
    <w:lvl w:ilvl="0" w:tplc="0E6EE508">
      <w:start w:val="9"/>
      <w:numFmt w:val="lowerLetter"/>
      <w:lvlText w:val="%1."/>
      <w:lvlJc w:val="left"/>
      <w:pPr>
        <w:tabs>
          <w:tab w:val="num" w:pos="2061"/>
        </w:tabs>
        <w:ind w:left="2061" w:hanging="360"/>
      </w:pPr>
      <w:rPr>
        <w:rFonts w:cs="Times New Roman" w:hint="default"/>
      </w:rPr>
    </w:lvl>
    <w:lvl w:ilvl="1" w:tplc="A2065F06">
      <w:start w:val="2"/>
      <w:numFmt w:val="lowerRoman"/>
      <w:lvlText w:val="%2."/>
      <w:lvlJc w:val="left"/>
      <w:pPr>
        <w:tabs>
          <w:tab w:val="num" w:pos="3141"/>
        </w:tabs>
        <w:ind w:left="3141" w:hanging="720"/>
      </w:pPr>
      <w:rPr>
        <w:rFonts w:cs="Times New Roman" w:hint="default"/>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6">
    <w:nsid w:val="3A0D4C1E"/>
    <w:multiLevelType w:val="multilevel"/>
    <w:tmpl w:val="A5AEB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F4250BF"/>
    <w:multiLevelType w:val="hybridMultilevel"/>
    <w:tmpl w:val="B866ADC0"/>
    <w:lvl w:ilvl="0" w:tplc="0809000F">
      <w:start w:val="1"/>
      <w:numFmt w:val="decimal"/>
      <w:lvlText w:val="%1."/>
      <w:lvlJc w:val="left"/>
      <w:pPr>
        <w:tabs>
          <w:tab w:val="num" w:pos="927"/>
        </w:tabs>
        <w:ind w:left="927" w:hanging="360"/>
      </w:pPr>
      <w:rPr>
        <w:rFonts w:cs="Times New Roman" w:hint="default"/>
      </w:rPr>
    </w:lvl>
    <w:lvl w:ilvl="1" w:tplc="226836CA">
      <w:start w:val="1"/>
      <w:numFmt w:val="lowerRoman"/>
      <w:lvlText w:val="%2."/>
      <w:lvlJc w:val="left"/>
      <w:pPr>
        <w:tabs>
          <w:tab w:val="num" w:pos="1647"/>
        </w:tabs>
        <w:ind w:left="1647" w:hanging="360"/>
      </w:pPr>
      <w:rPr>
        <w:rFonts w:ascii="Times New Roman" w:eastAsia="Times New Roman" w:hAnsi="Times New Roman" w:cs="Times New Roman"/>
      </w:rPr>
    </w:lvl>
    <w:lvl w:ilvl="2" w:tplc="7BC4833E">
      <w:start w:val="1"/>
      <w:numFmt w:val="lowerRoman"/>
      <w:lvlText w:val="%3)"/>
      <w:lvlJc w:val="left"/>
      <w:pPr>
        <w:tabs>
          <w:tab w:val="num" w:pos="1800"/>
        </w:tabs>
        <w:ind w:left="1800" w:hanging="720"/>
      </w:pPr>
      <w:rPr>
        <w:rFonts w:cs="Times New Roman" w:hint="default"/>
      </w:rPr>
    </w:lvl>
    <w:lvl w:ilvl="3" w:tplc="0A3C177A">
      <w:start w:val="1"/>
      <w:numFmt w:val="lowerRoman"/>
      <w:lvlText w:val="(%4)"/>
      <w:lvlJc w:val="left"/>
      <w:pPr>
        <w:tabs>
          <w:tab w:val="num" w:pos="3447"/>
        </w:tabs>
        <w:ind w:left="3447" w:hanging="720"/>
      </w:pPr>
      <w:rPr>
        <w:rFonts w:cs="Times New Roman" w:hint="default"/>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8">
    <w:nsid w:val="538272DC"/>
    <w:multiLevelType w:val="hybridMultilevel"/>
    <w:tmpl w:val="631484DA"/>
    <w:lvl w:ilvl="0" w:tplc="C9DA5538">
      <w:start w:val="9"/>
      <w:numFmt w:val="lowerLetter"/>
      <w:lvlText w:val="%1."/>
      <w:lvlJc w:val="left"/>
      <w:pPr>
        <w:tabs>
          <w:tab w:val="num" w:pos="2055"/>
        </w:tabs>
        <w:ind w:left="2055" w:hanging="360"/>
      </w:pPr>
      <w:rPr>
        <w:rFonts w:cs="Times New Roman" w:hint="default"/>
      </w:rPr>
    </w:lvl>
    <w:lvl w:ilvl="1" w:tplc="04F81A94">
      <w:start w:val="27"/>
      <w:numFmt w:val="decimal"/>
      <w:lvlText w:val="%2."/>
      <w:lvlJc w:val="left"/>
      <w:pPr>
        <w:tabs>
          <w:tab w:val="num" w:pos="2775"/>
        </w:tabs>
        <w:ind w:left="2775" w:hanging="360"/>
      </w:pPr>
      <w:rPr>
        <w:rFonts w:cs="Times New Roman" w:hint="default"/>
      </w:rPr>
    </w:lvl>
    <w:lvl w:ilvl="2" w:tplc="0809001B" w:tentative="1">
      <w:start w:val="1"/>
      <w:numFmt w:val="lowerRoman"/>
      <w:lvlText w:val="%3."/>
      <w:lvlJc w:val="right"/>
      <w:pPr>
        <w:tabs>
          <w:tab w:val="num" w:pos="3495"/>
        </w:tabs>
        <w:ind w:left="3495" w:hanging="180"/>
      </w:pPr>
      <w:rPr>
        <w:rFonts w:cs="Times New Roman"/>
      </w:rPr>
    </w:lvl>
    <w:lvl w:ilvl="3" w:tplc="0809000F" w:tentative="1">
      <w:start w:val="1"/>
      <w:numFmt w:val="decimal"/>
      <w:lvlText w:val="%4."/>
      <w:lvlJc w:val="left"/>
      <w:pPr>
        <w:tabs>
          <w:tab w:val="num" w:pos="4215"/>
        </w:tabs>
        <w:ind w:left="4215" w:hanging="360"/>
      </w:pPr>
      <w:rPr>
        <w:rFonts w:cs="Times New Roman"/>
      </w:rPr>
    </w:lvl>
    <w:lvl w:ilvl="4" w:tplc="08090019" w:tentative="1">
      <w:start w:val="1"/>
      <w:numFmt w:val="lowerLetter"/>
      <w:lvlText w:val="%5."/>
      <w:lvlJc w:val="left"/>
      <w:pPr>
        <w:tabs>
          <w:tab w:val="num" w:pos="4935"/>
        </w:tabs>
        <w:ind w:left="4935" w:hanging="360"/>
      </w:pPr>
      <w:rPr>
        <w:rFonts w:cs="Times New Roman"/>
      </w:rPr>
    </w:lvl>
    <w:lvl w:ilvl="5" w:tplc="0809001B" w:tentative="1">
      <w:start w:val="1"/>
      <w:numFmt w:val="lowerRoman"/>
      <w:lvlText w:val="%6."/>
      <w:lvlJc w:val="right"/>
      <w:pPr>
        <w:tabs>
          <w:tab w:val="num" w:pos="5655"/>
        </w:tabs>
        <w:ind w:left="5655" w:hanging="180"/>
      </w:pPr>
      <w:rPr>
        <w:rFonts w:cs="Times New Roman"/>
      </w:rPr>
    </w:lvl>
    <w:lvl w:ilvl="6" w:tplc="0809000F" w:tentative="1">
      <w:start w:val="1"/>
      <w:numFmt w:val="decimal"/>
      <w:lvlText w:val="%7."/>
      <w:lvlJc w:val="left"/>
      <w:pPr>
        <w:tabs>
          <w:tab w:val="num" w:pos="6375"/>
        </w:tabs>
        <w:ind w:left="6375" w:hanging="360"/>
      </w:pPr>
      <w:rPr>
        <w:rFonts w:cs="Times New Roman"/>
      </w:rPr>
    </w:lvl>
    <w:lvl w:ilvl="7" w:tplc="08090019" w:tentative="1">
      <w:start w:val="1"/>
      <w:numFmt w:val="lowerLetter"/>
      <w:lvlText w:val="%8."/>
      <w:lvlJc w:val="left"/>
      <w:pPr>
        <w:tabs>
          <w:tab w:val="num" w:pos="7095"/>
        </w:tabs>
        <w:ind w:left="7095" w:hanging="360"/>
      </w:pPr>
      <w:rPr>
        <w:rFonts w:cs="Times New Roman"/>
      </w:rPr>
    </w:lvl>
    <w:lvl w:ilvl="8" w:tplc="0809001B" w:tentative="1">
      <w:start w:val="1"/>
      <w:numFmt w:val="lowerRoman"/>
      <w:lvlText w:val="%9."/>
      <w:lvlJc w:val="right"/>
      <w:pPr>
        <w:tabs>
          <w:tab w:val="num" w:pos="7815"/>
        </w:tabs>
        <w:ind w:left="7815" w:hanging="180"/>
      </w:pPr>
      <w:rPr>
        <w:rFonts w:cs="Times New Roman"/>
      </w:rPr>
    </w:lvl>
  </w:abstractNum>
  <w:abstractNum w:abstractNumId="9">
    <w:nsid w:val="54A163D6"/>
    <w:multiLevelType w:val="hybridMultilevel"/>
    <w:tmpl w:val="068EBE8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F628E420">
      <w:start w:val="1"/>
      <w:numFmt w:val="lowerRoman"/>
      <w:lvlText w:val="%3)"/>
      <w:lvlJc w:val="left"/>
      <w:pPr>
        <w:tabs>
          <w:tab w:val="num" w:pos="2700"/>
        </w:tabs>
        <w:ind w:left="2700" w:hanging="72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3E245D34">
      <w:start w:val="1"/>
      <w:numFmt w:val="lowerRoman"/>
      <w:lvlText w:val="(%5)"/>
      <w:lvlJc w:val="left"/>
      <w:pPr>
        <w:tabs>
          <w:tab w:val="num" w:pos="3960"/>
        </w:tabs>
        <w:ind w:left="3960" w:hanging="72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7E3620AA"/>
    <w:multiLevelType w:val="hybridMultilevel"/>
    <w:tmpl w:val="D45EB4AA"/>
    <w:lvl w:ilvl="0" w:tplc="672A30A6">
      <w:start w:val="2"/>
      <w:numFmt w:val="lowerRoman"/>
      <w:lvlText w:val="%1."/>
      <w:lvlJc w:val="left"/>
      <w:pPr>
        <w:tabs>
          <w:tab w:val="num" w:pos="2415"/>
        </w:tabs>
        <w:ind w:left="2415" w:hanging="720"/>
      </w:pPr>
      <w:rPr>
        <w:rFonts w:cs="Times New Roman" w:hint="default"/>
      </w:rPr>
    </w:lvl>
    <w:lvl w:ilvl="1" w:tplc="08090019">
      <w:start w:val="1"/>
      <w:numFmt w:val="lowerLetter"/>
      <w:lvlText w:val="%2."/>
      <w:lvlJc w:val="left"/>
      <w:pPr>
        <w:tabs>
          <w:tab w:val="num" w:pos="2775"/>
        </w:tabs>
        <w:ind w:left="2775" w:hanging="360"/>
      </w:pPr>
      <w:rPr>
        <w:rFonts w:cs="Times New Roman"/>
      </w:rPr>
    </w:lvl>
    <w:lvl w:ilvl="2" w:tplc="0809001B" w:tentative="1">
      <w:start w:val="1"/>
      <w:numFmt w:val="lowerRoman"/>
      <w:lvlText w:val="%3."/>
      <w:lvlJc w:val="right"/>
      <w:pPr>
        <w:tabs>
          <w:tab w:val="num" w:pos="3495"/>
        </w:tabs>
        <w:ind w:left="3495" w:hanging="180"/>
      </w:pPr>
      <w:rPr>
        <w:rFonts w:cs="Times New Roman"/>
      </w:rPr>
    </w:lvl>
    <w:lvl w:ilvl="3" w:tplc="0809000F" w:tentative="1">
      <w:start w:val="1"/>
      <w:numFmt w:val="decimal"/>
      <w:lvlText w:val="%4."/>
      <w:lvlJc w:val="left"/>
      <w:pPr>
        <w:tabs>
          <w:tab w:val="num" w:pos="4215"/>
        </w:tabs>
        <w:ind w:left="4215" w:hanging="360"/>
      </w:pPr>
      <w:rPr>
        <w:rFonts w:cs="Times New Roman"/>
      </w:rPr>
    </w:lvl>
    <w:lvl w:ilvl="4" w:tplc="08090019" w:tentative="1">
      <w:start w:val="1"/>
      <w:numFmt w:val="lowerLetter"/>
      <w:lvlText w:val="%5."/>
      <w:lvlJc w:val="left"/>
      <w:pPr>
        <w:tabs>
          <w:tab w:val="num" w:pos="4935"/>
        </w:tabs>
        <w:ind w:left="4935" w:hanging="360"/>
      </w:pPr>
      <w:rPr>
        <w:rFonts w:cs="Times New Roman"/>
      </w:rPr>
    </w:lvl>
    <w:lvl w:ilvl="5" w:tplc="0809001B" w:tentative="1">
      <w:start w:val="1"/>
      <w:numFmt w:val="lowerRoman"/>
      <w:lvlText w:val="%6."/>
      <w:lvlJc w:val="right"/>
      <w:pPr>
        <w:tabs>
          <w:tab w:val="num" w:pos="5655"/>
        </w:tabs>
        <w:ind w:left="5655" w:hanging="180"/>
      </w:pPr>
      <w:rPr>
        <w:rFonts w:cs="Times New Roman"/>
      </w:rPr>
    </w:lvl>
    <w:lvl w:ilvl="6" w:tplc="0809000F" w:tentative="1">
      <w:start w:val="1"/>
      <w:numFmt w:val="decimal"/>
      <w:lvlText w:val="%7."/>
      <w:lvlJc w:val="left"/>
      <w:pPr>
        <w:tabs>
          <w:tab w:val="num" w:pos="6375"/>
        </w:tabs>
        <w:ind w:left="6375" w:hanging="360"/>
      </w:pPr>
      <w:rPr>
        <w:rFonts w:cs="Times New Roman"/>
      </w:rPr>
    </w:lvl>
    <w:lvl w:ilvl="7" w:tplc="08090019" w:tentative="1">
      <w:start w:val="1"/>
      <w:numFmt w:val="lowerLetter"/>
      <w:lvlText w:val="%8."/>
      <w:lvlJc w:val="left"/>
      <w:pPr>
        <w:tabs>
          <w:tab w:val="num" w:pos="7095"/>
        </w:tabs>
        <w:ind w:left="7095" w:hanging="360"/>
      </w:pPr>
      <w:rPr>
        <w:rFonts w:cs="Times New Roman"/>
      </w:rPr>
    </w:lvl>
    <w:lvl w:ilvl="8" w:tplc="0809001B" w:tentative="1">
      <w:start w:val="1"/>
      <w:numFmt w:val="lowerRoman"/>
      <w:lvlText w:val="%9."/>
      <w:lvlJc w:val="right"/>
      <w:pPr>
        <w:tabs>
          <w:tab w:val="num" w:pos="7815"/>
        </w:tabs>
        <w:ind w:left="7815" w:hanging="180"/>
      </w:pPr>
      <w:rPr>
        <w:rFonts w:cs="Times New Roman"/>
      </w:rPr>
    </w:lvl>
  </w:abstractNum>
  <w:num w:numId="1">
    <w:abstractNumId w:val="7"/>
  </w:num>
  <w:num w:numId="2">
    <w:abstractNumId w:val="8"/>
  </w:num>
  <w:num w:numId="3">
    <w:abstractNumId w:val="10"/>
  </w:num>
  <w:num w:numId="4">
    <w:abstractNumId w:val="5"/>
  </w:num>
  <w:num w:numId="5">
    <w:abstractNumId w:val="0"/>
  </w:num>
  <w:num w:numId="6">
    <w:abstractNumId w:val="4"/>
  </w:num>
  <w:num w:numId="7">
    <w:abstractNumId w:val="1"/>
  </w:num>
  <w:num w:numId="8">
    <w:abstractNumId w:val="3"/>
  </w:num>
  <w:num w:numId="9">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lvlOverride w:ilvl="0">
      <w:startOverride w:val="48"/>
    </w:lvlOverride>
  </w:num>
  <w:num w:numId="14">
    <w:abstractNumId w:val="2"/>
    <w:lvlOverride w:ilvl="0">
      <w:startOverride w:val="4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stylePaneFormatFilter w:val="3F01"/>
  <w:defaultTabStop w:val="567"/>
  <w:noPunctuationKerning/>
  <w:characterSpacingControl w:val="doNotCompress"/>
  <w:footnotePr>
    <w:footnote w:id="-1"/>
    <w:footnote w:id="0"/>
  </w:footnotePr>
  <w:endnotePr>
    <w:endnote w:id="-1"/>
    <w:endnote w:id="0"/>
  </w:endnotePr>
  <w:compat/>
  <w:rsids>
    <w:rsidRoot w:val="00C26032"/>
    <w:rsid w:val="00000621"/>
    <w:rsid w:val="000036C2"/>
    <w:rsid w:val="00005259"/>
    <w:rsid w:val="000224F1"/>
    <w:rsid w:val="00033D3D"/>
    <w:rsid w:val="0004565C"/>
    <w:rsid w:val="00057601"/>
    <w:rsid w:val="000610C3"/>
    <w:rsid w:val="00062F02"/>
    <w:rsid w:val="00071A7E"/>
    <w:rsid w:val="00071DA6"/>
    <w:rsid w:val="000746C0"/>
    <w:rsid w:val="00074D1D"/>
    <w:rsid w:val="0008541F"/>
    <w:rsid w:val="00090CF9"/>
    <w:rsid w:val="00092580"/>
    <w:rsid w:val="00093D4D"/>
    <w:rsid w:val="000A2074"/>
    <w:rsid w:val="000A4F55"/>
    <w:rsid w:val="000D5D94"/>
    <w:rsid w:val="000D7F39"/>
    <w:rsid w:val="000E38A0"/>
    <w:rsid w:val="000E6078"/>
    <w:rsid w:val="000E61D5"/>
    <w:rsid w:val="000E7195"/>
    <w:rsid w:val="000F1A0E"/>
    <w:rsid w:val="001165A7"/>
    <w:rsid w:val="00130A0C"/>
    <w:rsid w:val="001510BF"/>
    <w:rsid w:val="0015588E"/>
    <w:rsid w:val="00167D3A"/>
    <w:rsid w:val="001710FF"/>
    <w:rsid w:val="001730BD"/>
    <w:rsid w:val="00195EAB"/>
    <w:rsid w:val="001A3082"/>
    <w:rsid w:val="001A3852"/>
    <w:rsid w:val="001A3A63"/>
    <w:rsid w:val="001A5067"/>
    <w:rsid w:val="001B186A"/>
    <w:rsid w:val="001B2F75"/>
    <w:rsid w:val="001C5B7E"/>
    <w:rsid w:val="001E1B02"/>
    <w:rsid w:val="001E1F27"/>
    <w:rsid w:val="001E5267"/>
    <w:rsid w:val="001E6082"/>
    <w:rsid w:val="001F1AD8"/>
    <w:rsid w:val="001F2716"/>
    <w:rsid w:val="001F40C2"/>
    <w:rsid w:val="001F5BA1"/>
    <w:rsid w:val="001F7BBA"/>
    <w:rsid w:val="00207617"/>
    <w:rsid w:val="0023134B"/>
    <w:rsid w:val="0026015E"/>
    <w:rsid w:val="00266144"/>
    <w:rsid w:val="002667BE"/>
    <w:rsid w:val="00270E13"/>
    <w:rsid w:val="002727AF"/>
    <w:rsid w:val="002738AE"/>
    <w:rsid w:val="00283659"/>
    <w:rsid w:val="00297F95"/>
    <w:rsid w:val="002B2993"/>
    <w:rsid w:val="002B5149"/>
    <w:rsid w:val="002B7886"/>
    <w:rsid w:val="002C6BD4"/>
    <w:rsid w:val="002D68BF"/>
    <w:rsid w:val="002F0564"/>
    <w:rsid w:val="002F6B98"/>
    <w:rsid w:val="00320EE3"/>
    <w:rsid w:val="00336CBF"/>
    <w:rsid w:val="00336CE3"/>
    <w:rsid w:val="00343FE3"/>
    <w:rsid w:val="00353974"/>
    <w:rsid w:val="003546C8"/>
    <w:rsid w:val="00356CAF"/>
    <w:rsid w:val="003676CE"/>
    <w:rsid w:val="0037018D"/>
    <w:rsid w:val="00372E6A"/>
    <w:rsid w:val="00374329"/>
    <w:rsid w:val="00376AB3"/>
    <w:rsid w:val="00383224"/>
    <w:rsid w:val="00385AB3"/>
    <w:rsid w:val="00393AF4"/>
    <w:rsid w:val="003970FD"/>
    <w:rsid w:val="0039733C"/>
    <w:rsid w:val="003A7CF2"/>
    <w:rsid w:val="003B0158"/>
    <w:rsid w:val="003C5CE5"/>
    <w:rsid w:val="003D623F"/>
    <w:rsid w:val="003E267B"/>
    <w:rsid w:val="003E2D93"/>
    <w:rsid w:val="003E5773"/>
    <w:rsid w:val="003E7CD1"/>
    <w:rsid w:val="00402B9E"/>
    <w:rsid w:val="0040423F"/>
    <w:rsid w:val="004076E9"/>
    <w:rsid w:val="004078FD"/>
    <w:rsid w:val="00416DC3"/>
    <w:rsid w:val="00420643"/>
    <w:rsid w:val="0042111A"/>
    <w:rsid w:val="004249CB"/>
    <w:rsid w:val="0044127D"/>
    <w:rsid w:val="004448DB"/>
    <w:rsid w:val="00446C9A"/>
    <w:rsid w:val="00452F2B"/>
    <w:rsid w:val="00463BBE"/>
    <w:rsid w:val="00477193"/>
    <w:rsid w:val="00480A9A"/>
    <w:rsid w:val="004822AE"/>
    <w:rsid w:val="004823B1"/>
    <w:rsid w:val="00496054"/>
    <w:rsid w:val="00496CEB"/>
    <w:rsid w:val="004A1848"/>
    <w:rsid w:val="004A1A1C"/>
    <w:rsid w:val="004A6F4A"/>
    <w:rsid w:val="004B4A5B"/>
    <w:rsid w:val="004C2222"/>
    <w:rsid w:val="004C3D4C"/>
    <w:rsid w:val="004C6182"/>
    <w:rsid w:val="004D4D0A"/>
    <w:rsid w:val="004E4717"/>
    <w:rsid w:val="004F7173"/>
    <w:rsid w:val="005035E7"/>
    <w:rsid w:val="00507FEC"/>
    <w:rsid w:val="00510F0E"/>
    <w:rsid w:val="00517A67"/>
    <w:rsid w:val="00520E9F"/>
    <w:rsid w:val="00521FAD"/>
    <w:rsid w:val="00532799"/>
    <w:rsid w:val="00533E55"/>
    <w:rsid w:val="005479E1"/>
    <w:rsid w:val="00553E0A"/>
    <w:rsid w:val="005570FD"/>
    <w:rsid w:val="005575EA"/>
    <w:rsid w:val="00557A4C"/>
    <w:rsid w:val="005660F4"/>
    <w:rsid w:val="00567F9E"/>
    <w:rsid w:val="005759B5"/>
    <w:rsid w:val="0057790C"/>
    <w:rsid w:val="00592F3A"/>
    <w:rsid w:val="00593795"/>
    <w:rsid w:val="00593821"/>
    <w:rsid w:val="005A0405"/>
    <w:rsid w:val="005A549B"/>
    <w:rsid w:val="005A75FF"/>
    <w:rsid w:val="005C5AF6"/>
    <w:rsid w:val="005D10AB"/>
    <w:rsid w:val="005E16AE"/>
    <w:rsid w:val="005E26D3"/>
    <w:rsid w:val="005E5A1E"/>
    <w:rsid w:val="005F1F19"/>
    <w:rsid w:val="00601D8F"/>
    <w:rsid w:val="006020F3"/>
    <w:rsid w:val="00611011"/>
    <w:rsid w:val="00624606"/>
    <w:rsid w:val="00626AD0"/>
    <w:rsid w:val="006479C2"/>
    <w:rsid w:val="00652CD3"/>
    <w:rsid w:val="00653E97"/>
    <w:rsid w:val="0066004A"/>
    <w:rsid w:val="00661B68"/>
    <w:rsid w:val="00661F2E"/>
    <w:rsid w:val="00663262"/>
    <w:rsid w:val="00671151"/>
    <w:rsid w:val="00675C59"/>
    <w:rsid w:val="00676204"/>
    <w:rsid w:val="00681825"/>
    <w:rsid w:val="0068188E"/>
    <w:rsid w:val="00684A74"/>
    <w:rsid w:val="00690B8A"/>
    <w:rsid w:val="00692BEF"/>
    <w:rsid w:val="0069716D"/>
    <w:rsid w:val="00697D7D"/>
    <w:rsid w:val="006F2CF1"/>
    <w:rsid w:val="006F3FBA"/>
    <w:rsid w:val="007038ED"/>
    <w:rsid w:val="00703BC3"/>
    <w:rsid w:val="00704B61"/>
    <w:rsid w:val="00732406"/>
    <w:rsid w:val="007334B3"/>
    <w:rsid w:val="0074735A"/>
    <w:rsid w:val="007552A9"/>
    <w:rsid w:val="0076101D"/>
    <w:rsid w:val="00761858"/>
    <w:rsid w:val="007651B0"/>
    <w:rsid w:val="00767D59"/>
    <w:rsid w:val="007730C1"/>
    <w:rsid w:val="00776E97"/>
    <w:rsid w:val="00780F86"/>
    <w:rsid w:val="007912AD"/>
    <w:rsid w:val="00791984"/>
    <w:rsid w:val="007A059A"/>
    <w:rsid w:val="007A37E8"/>
    <w:rsid w:val="007A5A1B"/>
    <w:rsid w:val="007A62F2"/>
    <w:rsid w:val="007B0824"/>
    <w:rsid w:val="007B39B8"/>
    <w:rsid w:val="007B4B71"/>
    <w:rsid w:val="007B5D3C"/>
    <w:rsid w:val="007C1135"/>
    <w:rsid w:val="007F2B64"/>
    <w:rsid w:val="007F58DB"/>
    <w:rsid w:val="007F7FE8"/>
    <w:rsid w:val="0081312A"/>
    <w:rsid w:val="0081628D"/>
    <w:rsid w:val="00821B72"/>
    <w:rsid w:val="00823EF2"/>
    <w:rsid w:val="008303B8"/>
    <w:rsid w:val="00833DCE"/>
    <w:rsid w:val="008419CB"/>
    <w:rsid w:val="00842BAF"/>
    <w:rsid w:val="008431C9"/>
    <w:rsid w:val="00847149"/>
    <w:rsid w:val="00871D34"/>
    <w:rsid w:val="008758D0"/>
    <w:rsid w:val="00882C93"/>
    <w:rsid w:val="00887314"/>
    <w:rsid w:val="00896599"/>
    <w:rsid w:val="008965D2"/>
    <w:rsid w:val="008A28D7"/>
    <w:rsid w:val="008A6581"/>
    <w:rsid w:val="008B270C"/>
    <w:rsid w:val="008B382D"/>
    <w:rsid w:val="008B5078"/>
    <w:rsid w:val="008C3D3D"/>
    <w:rsid w:val="008C4A0E"/>
    <w:rsid w:val="008D4131"/>
    <w:rsid w:val="008E3D6D"/>
    <w:rsid w:val="008E5A4E"/>
    <w:rsid w:val="008F1932"/>
    <w:rsid w:val="00904E05"/>
    <w:rsid w:val="00912295"/>
    <w:rsid w:val="00915E3A"/>
    <w:rsid w:val="00921062"/>
    <w:rsid w:val="00925AB2"/>
    <w:rsid w:val="00950EBA"/>
    <w:rsid w:val="00956759"/>
    <w:rsid w:val="0095749E"/>
    <w:rsid w:val="009722BC"/>
    <w:rsid w:val="009727A3"/>
    <w:rsid w:val="00976F70"/>
    <w:rsid w:val="00987774"/>
    <w:rsid w:val="00996600"/>
    <w:rsid w:val="0099672B"/>
    <w:rsid w:val="009A11E8"/>
    <w:rsid w:val="009B2F89"/>
    <w:rsid w:val="009C1583"/>
    <w:rsid w:val="009F5220"/>
    <w:rsid w:val="009F7622"/>
    <w:rsid w:val="00A14F4F"/>
    <w:rsid w:val="00A15234"/>
    <w:rsid w:val="00A16DB1"/>
    <w:rsid w:val="00A201AB"/>
    <w:rsid w:val="00A240AA"/>
    <w:rsid w:val="00A253BF"/>
    <w:rsid w:val="00A308D8"/>
    <w:rsid w:val="00A31C8B"/>
    <w:rsid w:val="00A44BA0"/>
    <w:rsid w:val="00A509FA"/>
    <w:rsid w:val="00A557C2"/>
    <w:rsid w:val="00A81827"/>
    <w:rsid w:val="00A845DC"/>
    <w:rsid w:val="00A870EB"/>
    <w:rsid w:val="00AB1FDF"/>
    <w:rsid w:val="00AB5683"/>
    <w:rsid w:val="00AD6EB9"/>
    <w:rsid w:val="00AE28FC"/>
    <w:rsid w:val="00AF4B19"/>
    <w:rsid w:val="00B26AA2"/>
    <w:rsid w:val="00B26AAB"/>
    <w:rsid w:val="00B325B5"/>
    <w:rsid w:val="00B3524D"/>
    <w:rsid w:val="00B40C8E"/>
    <w:rsid w:val="00B40F69"/>
    <w:rsid w:val="00B443D8"/>
    <w:rsid w:val="00B46616"/>
    <w:rsid w:val="00B66CCC"/>
    <w:rsid w:val="00B7040A"/>
    <w:rsid w:val="00B75E19"/>
    <w:rsid w:val="00B83391"/>
    <w:rsid w:val="00B950D1"/>
    <w:rsid w:val="00B95326"/>
    <w:rsid w:val="00BA0A2F"/>
    <w:rsid w:val="00BA3272"/>
    <w:rsid w:val="00BB2F0E"/>
    <w:rsid w:val="00BD18B9"/>
    <w:rsid w:val="00BD4196"/>
    <w:rsid w:val="00BF22CA"/>
    <w:rsid w:val="00BF23BB"/>
    <w:rsid w:val="00BF2AF6"/>
    <w:rsid w:val="00C02D20"/>
    <w:rsid w:val="00C07206"/>
    <w:rsid w:val="00C12F97"/>
    <w:rsid w:val="00C20C5A"/>
    <w:rsid w:val="00C22C4D"/>
    <w:rsid w:val="00C26032"/>
    <w:rsid w:val="00C33BFD"/>
    <w:rsid w:val="00C345E1"/>
    <w:rsid w:val="00C43BFD"/>
    <w:rsid w:val="00C56534"/>
    <w:rsid w:val="00C61EC7"/>
    <w:rsid w:val="00C715C1"/>
    <w:rsid w:val="00C856E3"/>
    <w:rsid w:val="00CA0593"/>
    <w:rsid w:val="00CA093C"/>
    <w:rsid w:val="00CA415F"/>
    <w:rsid w:val="00CB6E35"/>
    <w:rsid w:val="00CD63E5"/>
    <w:rsid w:val="00CE1A46"/>
    <w:rsid w:val="00CE2FB6"/>
    <w:rsid w:val="00D20757"/>
    <w:rsid w:val="00D22636"/>
    <w:rsid w:val="00D2334F"/>
    <w:rsid w:val="00D40FD9"/>
    <w:rsid w:val="00D53769"/>
    <w:rsid w:val="00D53B99"/>
    <w:rsid w:val="00D6567D"/>
    <w:rsid w:val="00D8074E"/>
    <w:rsid w:val="00D85839"/>
    <w:rsid w:val="00D85C13"/>
    <w:rsid w:val="00D9111A"/>
    <w:rsid w:val="00D91BE3"/>
    <w:rsid w:val="00D92DC4"/>
    <w:rsid w:val="00D94AFC"/>
    <w:rsid w:val="00D95EB2"/>
    <w:rsid w:val="00DB0BBE"/>
    <w:rsid w:val="00DB70AE"/>
    <w:rsid w:val="00DC33E7"/>
    <w:rsid w:val="00DD5071"/>
    <w:rsid w:val="00DD5C39"/>
    <w:rsid w:val="00DE413B"/>
    <w:rsid w:val="00DE4B33"/>
    <w:rsid w:val="00DE7DB7"/>
    <w:rsid w:val="00DF1927"/>
    <w:rsid w:val="00DF5B9B"/>
    <w:rsid w:val="00DF5F8E"/>
    <w:rsid w:val="00E00A0A"/>
    <w:rsid w:val="00E066DE"/>
    <w:rsid w:val="00E07F57"/>
    <w:rsid w:val="00E26072"/>
    <w:rsid w:val="00E30683"/>
    <w:rsid w:val="00E34430"/>
    <w:rsid w:val="00E412B4"/>
    <w:rsid w:val="00E453D8"/>
    <w:rsid w:val="00E50BCE"/>
    <w:rsid w:val="00E574BF"/>
    <w:rsid w:val="00E61292"/>
    <w:rsid w:val="00E70E94"/>
    <w:rsid w:val="00E77C4D"/>
    <w:rsid w:val="00E80AD9"/>
    <w:rsid w:val="00E81D01"/>
    <w:rsid w:val="00E84BE2"/>
    <w:rsid w:val="00EB5503"/>
    <w:rsid w:val="00EB6B64"/>
    <w:rsid w:val="00EC442E"/>
    <w:rsid w:val="00ED024A"/>
    <w:rsid w:val="00EE38EF"/>
    <w:rsid w:val="00EE43F3"/>
    <w:rsid w:val="00EE45D8"/>
    <w:rsid w:val="00EF7181"/>
    <w:rsid w:val="00F145C2"/>
    <w:rsid w:val="00F155FA"/>
    <w:rsid w:val="00F22EDA"/>
    <w:rsid w:val="00F231E2"/>
    <w:rsid w:val="00F32555"/>
    <w:rsid w:val="00F37FE2"/>
    <w:rsid w:val="00F40117"/>
    <w:rsid w:val="00F44768"/>
    <w:rsid w:val="00F5225C"/>
    <w:rsid w:val="00F52CC8"/>
    <w:rsid w:val="00F5678F"/>
    <w:rsid w:val="00F60D45"/>
    <w:rsid w:val="00F94C3B"/>
    <w:rsid w:val="00F97703"/>
    <w:rsid w:val="00FA100D"/>
    <w:rsid w:val="00FE5F47"/>
    <w:rsid w:val="00FF7B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2A9"/>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7552A9"/>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7552A9"/>
    <w:rPr>
      <w:rFonts w:cs="Times New Roman"/>
    </w:rPr>
  </w:style>
  <w:style w:type="table" w:styleId="TableGrid">
    <w:name w:val="Table Grid"/>
    <w:basedOn w:val="TableNormal"/>
    <w:uiPriority w:val="99"/>
    <w:rsid w:val="00D2263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01D8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B95326"/>
    <w:rPr>
      <w:rFonts w:cs="Times New Roman"/>
      <w:color w:val="0000FF"/>
      <w:u w:val="single"/>
    </w:rPr>
  </w:style>
  <w:style w:type="paragraph" w:styleId="DocumentMap">
    <w:name w:val="Document Map"/>
    <w:basedOn w:val="Normal"/>
    <w:link w:val="DocumentMapChar"/>
    <w:uiPriority w:val="99"/>
    <w:semiHidden/>
    <w:rsid w:val="00521FA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PlainText">
    <w:name w:val="Plain Text"/>
    <w:basedOn w:val="Normal"/>
    <w:link w:val="PlainTextChar"/>
    <w:uiPriority w:val="99"/>
    <w:rsid w:val="004C6182"/>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NormalWeb">
    <w:name w:val="Normal (Web)"/>
    <w:basedOn w:val="Normal"/>
    <w:uiPriority w:val="99"/>
    <w:rsid w:val="00356CAF"/>
    <w:pPr>
      <w:spacing w:before="100" w:beforeAutospacing="1" w:after="100" w:afterAutospacing="1"/>
    </w:pPr>
  </w:style>
  <w:style w:type="paragraph" w:customStyle="1" w:styleId="Default">
    <w:name w:val="Default"/>
    <w:uiPriority w:val="99"/>
    <w:rsid w:val="00F5678F"/>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rsid w:val="00EC442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71977571">
      <w:marLeft w:val="0"/>
      <w:marRight w:val="0"/>
      <w:marTop w:val="0"/>
      <w:marBottom w:val="0"/>
      <w:divBdr>
        <w:top w:val="none" w:sz="0" w:space="0" w:color="auto"/>
        <w:left w:val="none" w:sz="0" w:space="0" w:color="auto"/>
        <w:bottom w:val="none" w:sz="0" w:space="0" w:color="auto"/>
        <w:right w:val="none" w:sz="0" w:space="0" w:color="auto"/>
      </w:divBdr>
    </w:div>
    <w:div w:id="771977575">
      <w:marLeft w:val="0"/>
      <w:marRight w:val="0"/>
      <w:marTop w:val="0"/>
      <w:marBottom w:val="0"/>
      <w:divBdr>
        <w:top w:val="none" w:sz="0" w:space="0" w:color="auto"/>
        <w:left w:val="none" w:sz="0" w:space="0" w:color="auto"/>
        <w:bottom w:val="none" w:sz="0" w:space="0" w:color="auto"/>
        <w:right w:val="none" w:sz="0" w:space="0" w:color="auto"/>
      </w:divBdr>
      <w:divsChild>
        <w:div w:id="771977570">
          <w:marLeft w:val="720"/>
          <w:marRight w:val="720"/>
          <w:marTop w:val="100"/>
          <w:marBottom w:val="100"/>
          <w:divBdr>
            <w:top w:val="none" w:sz="0" w:space="0" w:color="auto"/>
            <w:left w:val="none" w:sz="0" w:space="0" w:color="auto"/>
            <w:bottom w:val="none" w:sz="0" w:space="0" w:color="auto"/>
            <w:right w:val="none" w:sz="0" w:space="0" w:color="auto"/>
          </w:divBdr>
          <w:divsChild>
            <w:div w:id="771977574">
              <w:marLeft w:val="720"/>
              <w:marRight w:val="720"/>
              <w:marTop w:val="100"/>
              <w:marBottom w:val="100"/>
              <w:divBdr>
                <w:top w:val="none" w:sz="0" w:space="0" w:color="auto"/>
                <w:left w:val="none" w:sz="0" w:space="0" w:color="auto"/>
                <w:bottom w:val="none" w:sz="0" w:space="0" w:color="auto"/>
                <w:right w:val="none" w:sz="0" w:space="0" w:color="auto"/>
              </w:divBdr>
            </w:div>
          </w:divsChild>
        </w:div>
        <w:div w:id="771977572">
          <w:marLeft w:val="720"/>
          <w:marRight w:val="720"/>
          <w:marTop w:val="100"/>
          <w:marBottom w:val="100"/>
          <w:divBdr>
            <w:top w:val="none" w:sz="0" w:space="0" w:color="auto"/>
            <w:left w:val="none" w:sz="0" w:space="0" w:color="auto"/>
            <w:bottom w:val="none" w:sz="0" w:space="0" w:color="auto"/>
            <w:right w:val="none" w:sz="0" w:space="0" w:color="auto"/>
          </w:divBdr>
          <w:divsChild>
            <w:div w:id="771977569">
              <w:marLeft w:val="720"/>
              <w:marRight w:val="720"/>
              <w:marTop w:val="100"/>
              <w:marBottom w:val="100"/>
              <w:divBdr>
                <w:top w:val="none" w:sz="0" w:space="0" w:color="auto"/>
                <w:left w:val="none" w:sz="0" w:space="0" w:color="auto"/>
                <w:bottom w:val="none" w:sz="0" w:space="0" w:color="auto"/>
                <w:right w:val="none" w:sz="0" w:space="0" w:color="auto"/>
              </w:divBdr>
            </w:div>
          </w:divsChild>
        </w:div>
        <w:div w:id="771977573">
          <w:marLeft w:val="720"/>
          <w:marRight w:val="720"/>
          <w:marTop w:val="100"/>
          <w:marBottom w:val="100"/>
          <w:divBdr>
            <w:top w:val="none" w:sz="0" w:space="0" w:color="auto"/>
            <w:left w:val="none" w:sz="0" w:space="0" w:color="auto"/>
            <w:bottom w:val="none" w:sz="0" w:space="0" w:color="auto"/>
            <w:right w:val="none" w:sz="0" w:space="0" w:color="auto"/>
          </w:divBdr>
          <w:divsChild>
            <w:div w:id="771977579">
              <w:marLeft w:val="720"/>
              <w:marRight w:val="720"/>
              <w:marTop w:val="100"/>
              <w:marBottom w:val="100"/>
              <w:divBdr>
                <w:top w:val="none" w:sz="0" w:space="0" w:color="auto"/>
                <w:left w:val="none" w:sz="0" w:space="0" w:color="auto"/>
                <w:bottom w:val="none" w:sz="0" w:space="0" w:color="auto"/>
                <w:right w:val="none" w:sz="0" w:space="0" w:color="auto"/>
              </w:divBdr>
            </w:div>
          </w:divsChild>
        </w:div>
        <w:div w:id="771977577">
          <w:marLeft w:val="720"/>
          <w:marRight w:val="720"/>
          <w:marTop w:val="100"/>
          <w:marBottom w:val="100"/>
          <w:divBdr>
            <w:top w:val="none" w:sz="0" w:space="0" w:color="auto"/>
            <w:left w:val="none" w:sz="0" w:space="0" w:color="auto"/>
            <w:bottom w:val="none" w:sz="0" w:space="0" w:color="auto"/>
            <w:right w:val="none" w:sz="0" w:space="0" w:color="auto"/>
          </w:divBdr>
          <w:divsChild>
            <w:div w:id="7719775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977576">
      <w:marLeft w:val="0"/>
      <w:marRight w:val="0"/>
      <w:marTop w:val="0"/>
      <w:marBottom w:val="0"/>
      <w:divBdr>
        <w:top w:val="none" w:sz="0" w:space="0" w:color="auto"/>
        <w:left w:val="none" w:sz="0" w:space="0" w:color="auto"/>
        <w:bottom w:val="none" w:sz="0" w:space="0" w:color="auto"/>
        <w:right w:val="none" w:sz="0" w:space="0" w:color="auto"/>
      </w:divBdr>
    </w:div>
    <w:div w:id="771977580">
      <w:marLeft w:val="0"/>
      <w:marRight w:val="0"/>
      <w:marTop w:val="0"/>
      <w:marBottom w:val="0"/>
      <w:divBdr>
        <w:top w:val="none" w:sz="0" w:space="0" w:color="auto"/>
        <w:left w:val="none" w:sz="0" w:space="0" w:color="auto"/>
        <w:bottom w:val="none" w:sz="0" w:space="0" w:color="auto"/>
        <w:right w:val="none" w:sz="0" w:space="0" w:color="auto"/>
      </w:divBdr>
    </w:div>
    <w:div w:id="771977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nco13p\Application%20Data\Microsoft\Templates\UT%20Determin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 Determination</Template>
  <TotalTime>0</TotalTime>
  <Pages>18</Pages>
  <Words>17173</Words>
  <Characters>97890</Characters>
  <Application>Microsoft Office Word</Application>
  <DocSecurity>4</DocSecurity>
  <Lines>815</Lines>
  <Paragraphs>229</Paragraphs>
  <ScaleCrop>false</ScaleCrop>
  <Company>Court Service</Company>
  <LinksUpToDate>false</LinksUpToDate>
  <CharactersWithSpaces>114834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Izuazu  (Article 8 – new rules) Nigeria ¬N [2013] UKUT 45 (IAC) (30/01/2013)</dc:title>
  <dc:subject/>
  <dc:creator>nco13p</dc:creator>
  <cp:keywords/>
  <dc:description/>
  <cp:lastModifiedBy>francesco</cp:lastModifiedBy>
  <cp:revision>2</cp:revision>
  <cp:lastPrinted>2013-01-17T16:55:00Z</cp:lastPrinted>
  <dcterms:created xsi:type="dcterms:W3CDTF">2013-02-20T18:03:00Z</dcterms:created>
  <dcterms:modified xsi:type="dcterms:W3CDTF">2013-02-20T18:03:00Z</dcterms:modified>
</cp:coreProperties>
</file>