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89" w:rsidRPr="00E14189" w:rsidRDefault="00E14189" w:rsidP="00E14189">
      <w:pPr>
        <w:spacing w:beforeAutospacing="1" w:afterAutospacing="1"/>
        <w:jc w:val="right"/>
        <w:rPr>
          <w:rFonts w:ascii="Times" w:hAnsi="Times" w:cs="Times New Roman"/>
          <w:sz w:val="20"/>
          <w:szCs w:val="20"/>
        </w:rPr>
      </w:pPr>
      <w:r w:rsidRPr="00E14189">
        <w:rPr>
          <w:rFonts w:ascii="Times" w:hAnsi="Times" w:cs="Times New Roman"/>
          <w:b/>
          <w:bCs/>
          <w:sz w:val="20"/>
          <w:szCs w:val="20"/>
        </w:rPr>
        <w:t xml:space="preserve">Trinty Term </w:t>
      </w:r>
      <w:r w:rsidRPr="00E14189">
        <w:rPr>
          <w:rFonts w:ascii="Times" w:hAnsi="Times" w:cs="Times New Roman"/>
          <w:sz w:val="20"/>
          <w:szCs w:val="20"/>
        </w:rPr>
        <w:br/>
      </w:r>
      <w:proofErr w:type="gramStart"/>
      <w:r w:rsidRPr="00E14189">
        <w:rPr>
          <w:rFonts w:ascii="Times" w:hAnsi="Times" w:cs="Times New Roman"/>
          <w:b/>
          <w:bCs/>
          <w:sz w:val="20"/>
          <w:szCs w:val="20"/>
        </w:rPr>
        <w:t>[2013</w:t>
      </w:r>
      <w:proofErr w:type="gramEnd"/>
      <w:r w:rsidRPr="00E14189">
        <w:rPr>
          <w:rFonts w:ascii="Times" w:hAnsi="Times" w:cs="Times New Roman"/>
          <w:b/>
          <w:bCs/>
          <w:sz w:val="20"/>
          <w:szCs w:val="20"/>
        </w:rPr>
        <w:t>] UKSC 49</w:t>
      </w:r>
      <w:r w:rsidRPr="00E14189">
        <w:rPr>
          <w:rFonts w:ascii="Times" w:hAnsi="Times" w:cs="Times New Roman"/>
          <w:sz w:val="20"/>
          <w:szCs w:val="20"/>
        </w:rPr>
        <w:br/>
        <w:t xml:space="preserve">On appeal from: </w:t>
      </w:r>
      <w:hyperlink r:id="rId6" w:tooltip="Link to BAILII version" w:history="1">
        <w:r w:rsidRPr="00E14189">
          <w:rPr>
            <w:rFonts w:ascii="Times" w:hAnsi="Times" w:cs="Times New Roman"/>
            <w:i/>
            <w:iCs/>
            <w:color w:val="0000FF"/>
            <w:sz w:val="20"/>
            <w:szCs w:val="20"/>
            <w:u w:val="single"/>
          </w:rPr>
          <w:t>[2012] EWCA Civ 1383</w:t>
        </w:r>
      </w:hyperlink>
    </w:p>
    <w:p w:rsidR="00E14189" w:rsidRPr="00E14189" w:rsidRDefault="00E14189" w:rsidP="00E14189">
      <w:pPr>
        <w:spacing w:beforeAutospacing="1" w:afterAutospacing="1"/>
        <w:jc w:val="center"/>
        <w:outlineLvl w:val="1"/>
        <w:rPr>
          <w:rFonts w:ascii="Times" w:eastAsia="Times New Roman" w:hAnsi="Times" w:cs="Times New Roman"/>
          <w:b/>
          <w:bCs/>
          <w:sz w:val="36"/>
          <w:szCs w:val="36"/>
        </w:rPr>
      </w:pPr>
      <w:r w:rsidRPr="00E14189">
        <w:rPr>
          <w:rFonts w:ascii="Times" w:eastAsia="Times New Roman" w:hAnsi="Times" w:cs="Times New Roman"/>
          <w:b/>
          <w:bCs/>
          <w:sz w:val="36"/>
          <w:szCs w:val="36"/>
        </w:rPr>
        <w:t>JUDGMENT</w:t>
      </w:r>
    </w:p>
    <w:p w:rsidR="00E14189" w:rsidRPr="00E14189" w:rsidRDefault="00E14189" w:rsidP="00E14189">
      <w:pPr>
        <w:jc w:val="center"/>
        <w:rPr>
          <w:rFonts w:ascii="Times" w:eastAsia="Times New Roman" w:hAnsi="Times" w:cs="Times New Roman"/>
          <w:sz w:val="20"/>
          <w:szCs w:val="20"/>
        </w:rPr>
      </w:pPr>
      <w:r w:rsidRPr="00E14189">
        <w:rPr>
          <w:rFonts w:ascii="Times" w:eastAsia="Times New Roman" w:hAnsi="Times" w:cs="Times New Roman"/>
          <w:b/>
          <w:bCs/>
          <w:sz w:val="20"/>
          <w:szCs w:val="20"/>
        </w:rPr>
        <w:t xml:space="preserve">R (on the </w:t>
      </w:r>
      <w:proofErr w:type="gramStart"/>
      <w:r w:rsidRPr="00E14189">
        <w:rPr>
          <w:rFonts w:ascii="Times" w:eastAsia="Times New Roman" w:hAnsi="Times" w:cs="Times New Roman"/>
          <w:b/>
          <w:bCs/>
          <w:sz w:val="20"/>
          <w:szCs w:val="20"/>
        </w:rPr>
        <w:t>application</w:t>
      </w:r>
      <w:proofErr w:type="gramEnd"/>
      <w:r w:rsidRPr="00E14189">
        <w:rPr>
          <w:rFonts w:ascii="Times" w:eastAsia="Times New Roman" w:hAnsi="Times" w:cs="Times New Roman"/>
          <w:b/>
          <w:bCs/>
          <w:sz w:val="20"/>
          <w:szCs w:val="20"/>
        </w:rPr>
        <w:t xml:space="preserve"> of AA) (FC) (Appellant) </w:t>
      </w:r>
      <w:r w:rsidRPr="00E14189">
        <w:rPr>
          <w:rFonts w:ascii="Times" w:eastAsia="Times New Roman" w:hAnsi="Times" w:cs="Times New Roman"/>
          <w:b/>
          <w:bCs/>
          <w:i/>
          <w:iCs/>
          <w:sz w:val="20"/>
          <w:szCs w:val="20"/>
        </w:rPr>
        <w:t>v</w:t>
      </w:r>
      <w:r w:rsidRPr="00E14189">
        <w:rPr>
          <w:rFonts w:ascii="Times" w:eastAsia="Times New Roman" w:hAnsi="Times" w:cs="Times New Roman"/>
          <w:b/>
          <w:bCs/>
          <w:sz w:val="20"/>
          <w:szCs w:val="20"/>
        </w:rPr>
        <w:t xml:space="preserve"> Secretary of State for the Home Department (Respondent) </w:t>
      </w:r>
    </w:p>
    <w:p w:rsidR="00E14189" w:rsidRPr="00E14189" w:rsidRDefault="00E14189" w:rsidP="00E14189">
      <w:pPr>
        <w:jc w:val="center"/>
        <w:rPr>
          <w:rFonts w:ascii="Times" w:eastAsia="Times New Roman" w:hAnsi="Times" w:cs="Times New Roman"/>
          <w:sz w:val="20"/>
          <w:szCs w:val="20"/>
        </w:rPr>
      </w:pPr>
      <w:proofErr w:type="gramStart"/>
      <w:r w:rsidRPr="00E14189">
        <w:rPr>
          <w:rFonts w:ascii="Times" w:eastAsia="Times New Roman" w:hAnsi="Times" w:cs="Times New Roman"/>
          <w:b/>
          <w:bCs/>
          <w:sz w:val="20"/>
          <w:szCs w:val="20"/>
        </w:rPr>
        <w:t>before</w:t>
      </w:r>
      <w:proofErr w:type="gramEnd"/>
      <w:r w:rsidRPr="00E14189">
        <w:rPr>
          <w:rFonts w:ascii="Times" w:eastAsia="Times New Roman" w:hAnsi="Times" w:cs="Times New Roman"/>
          <w:b/>
          <w:bCs/>
          <w:sz w:val="20"/>
          <w:szCs w:val="20"/>
        </w:rPr>
        <w:t xml:space="preserve"> </w:t>
      </w:r>
    </w:p>
    <w:p w:rsidR="00E14189" w:rsidRPr="00E14189" w:rsidRDefault="00E14189" w:rsidP="00E14189">
      <w:pPr>
        <w:jc w:val="center"/>
        <w:rPr>
          <w:rFonts w:ascii="Times" w:eastAsia="Times New Roman" w:hAnsi="Times" w:cs="Times New Roman"/>
          <w:sz w:val="20"/>
          <w:szCs w:val="20"/>
        </w:rPr>
      </w:pPr>
      <w:r w:rsidRPr="00E14189">
        <w:rPr>
          <w:rFonts w:ascii="Times" w:eastAsia="Times New Roman" w:hAnsi="Times" w:cs="Times New Roman"/>
          <w:b/>
          <w:bCs/>
          <w:sz w:val="20"/>
          <w:szCs w:val="20"/>
        </w:rPr>
        <w:br/>
        <w:t>Lord Neuberger, President</w:t>
      </w:r>
      <w:r w:rsidRPr="00E14189">
        <w:rPr>
          <w:rFonts w:ascii="Times" w:eastAsia="Times New Roman" w:hAnsi="Times" w:cs="Times New Roman"/>
          <w:b/>
          <w:bCs/>
          <w:sz w:val="20"/>
          <w:szCs w:val="20"/>
        </w:rPr>
        <w:br/>
        <w:t>Lord Clarke</w:t>
      </w:r>
      <w:r w:rsidRPr="00E14189">
        <w:rPr>
          <w:rFonts w:ascii="Times" w:eastAsia="Times New Roman" w:hAnsi="Times" w:cs="Times New Roman"/>
          <w:b/>
          <w:bCs/>
          <w:sz w:val="20"/>
          <w:szCs w:val="20"/>
        </w:rPr>
        <w:br/>
        <w:t>Lord Wilson</w:t>
      </w:r>
      <w:r w:rsidRPr="00E14189">
        <w:rPr>
          <w:rFonts w:ascii="Times" w:eastAsia="Times New Roman" w:hAnsi="Times" w:cs="Times New Roman"/>
          <w:b/>
          <w:bCs/>
          <w:sz w:val="20"/>
          <w:szCs w:val="20"/>
        </w:rPr>
        <w:br/>
        <w:t>Lord Carnwath</w:t>
      </w:r>
      <w:r w:rsidRPr="00E14189">
        <w:rPr>
          <w:rFonts w:ascii="Times" w:eastAsia="Times New Roman" w:hAnsi="Times" w:cs="Times New Roman"/>
          <w:b/>
          <w:bCs/>
          <w:sz w:val="20"/>
          <w:szCs w:val="20"/>
        </w:rPr>
        <w:br/>
        <w:t>Lord Toulson</w:t>
      </w:r>
    </w:p>
    <w:p w:rsidR="00E14189" w:rsidRPr="00E14189" w:rsidRDefault="00E14189" w:rsidP="00E14189">
      <w:pPr>
        <w:jc w:val="center"/>
        <w:rPr>
          <w:rFonts w:ascii="Times" w:eastAsia="Times New Roman" w:hAnsi="Times" w:cs="Times New Roman"/>
          <w:sz w:val="20"/>
          <w:szCs w:val="20"/>
        </w:rPr>
      </w:pPr>
      <w:r w:rsidRPr="00E14189">
        <w:rPr>
          <w:rFonts w:ascii="Times" w:eastAsia="Times New Roman" w:hAnsi="Times" w:cs="Times New Roman"/>
          <w:b/>
          <w:bCs/>
          <w:sz w:val="20"/>
          <w:szCs w:val="20"/>
        </w:rPr>
        <w:t>JUDGMENT GIVEN ON</w:t>
      </w:r>
    </w:p>
    <w:p w:rsidR="00E14189" w:rsidRPr="00E14189" w:rsidRDefault="00E14189" w:rsidP="00E14189">
      <w:pPr>
        <w:spacing w:beforeAutospacing="1" w:afterAutospacing="1"/>
        <w:jc w:val="center"/>
        <w:outlineLvl w:val="2"/>
        <w:rPr>
          <w:rFonts w:ascii="Times" w:eastAsia="Times New Roman" w:hAnsi="Times" w:cs="Times New Roman"/>
          <w:b/>
          <w:bCs/>
          <w:sz w:val="27"/>
          <w:szCs w:val="27"/>
        </w:rPr>
      </w:pPr>
      <w:r w:rsidRPr="00E14189">
        <w:rPr>
          <w:rFonts w:ascii="Times" w:eastAsia="Times New Roman" w:hAnsi="Times" w:cs="Times New Roman"/>
          <w:b/>
          <w:bCs/>
          <w:sz w:val="27"/>
          <w:szCs w:val="27"/>
        </w:rPr>
        <w:t>10 July 2013</w:t>
      </w:r>
    </w:p>
    <w:p w:rsidR="00E14189" w:rsidRPr="00E14189" w:rsidRDefault="00E14189" w:rsidP="00E14189">
      <w:pPr>
        <w:jc w:val="center"/>
        <w:rPr>
          <w:rFonts w:ascii="Times" w:eastAsia="Times New Roman" w:hAnsi="Times" w:cs="Times New Roman"/>
          <w:sz w:val="20"/>
          <w:szCs w:val="20"/>
        </w:rPr>
      </w:pPr>
      <w:r w:rsidRPr="00E14189">
        <w:rPr>
          <w:rFonts w:ascii="Times" w:eastAsia="Times New Roman" w:hAnsi="Times" w:cs="Times New Roman"/>
          <w:b/>
          <w:bCs/>
          <w:sz w:val="20"/>
          <w:szCs w:val="20"/>
        </w:rPr>
        <w:t xml:space="preserve">Heard on </w:t>
      </w:r>
      <w:proofErr w:type="gramStart"/>
      <w:r w:rsidRPr="00E14189">
        <w:rPr>
          <w:rFonts w:ascii="Times" w:eastAsia="Times New Roman" w:hAnsi="Times" w:cs="Times New Roman"/>
          <w:b/>
          <w:bCs/>
          <w:sz w:val="20"/>
          <w:szCs w:val="20"/>
        </w:rPr>
        <w:t>7</w:t>
      </w:r>
      <w:proofErr w:type="gramEnd"/>
      <w:r w:rsidRPr="00E14189">
        <w:rPr>
          <w:rFonts w:ascii="Times" w:eastAsia="Times New Roman" w:hAnsi="Times" w:cs="Times New Roman"/>
          <w:b/>
          <w:bCs/>
          <w:sz w:val="20"/>
          <w:szCs w:val="20"/>
        </w:rPr>
        <w:t xml:space="preserve"> and 8 May 2013</w:t>
      </w:r>
    </w:p>
    <w:tbl>
      <w:tblPr>
        <w:tblW w:w="0" w:type="auto"/>
        <w:jc w:val="center"/>
        <w:tblCellSpacing w:w="1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2777"/>
        <w:gridCol w:w="300"/>
        <w:gridCol w:w="2943"/>
      </w:tblGrid>
      <w:tr w:rsidR="00E14189" w:rsidRPr="00E14189" w:rsidTr="00E14189">
        <w:trPr>
          <w:tblCellSpacing w:w="10" w:type="dxa"/>
          <w:jc w:val="center"/>
        </w:trPr>
        <w:tc>
          <w:tcPr>
            <w:tcW w:w="0" w:type="auto"/>
            <w:tcBorders>
              <w:top w:val="outset" w:sz="6" w:space="0" w:color="auto"/>
              <w:left w:val="outset" w:sz="6" w:space="0" w:color="auto"/>
              <w:bottom w:val="outset" w:sz="6" w:space="0" w:color="auto"/>
              <w:right w:val="outset" w:sz="6" w:space="0" w:color="auto"/>
            </w:tcBorders>
            <w:hideMark/>
          </w:tcPr>
          <w:p w:rsidR="00E14189" w:rsidRPr="00E14189" w:rsidRDefault="00E14189" w:rsidP="00E14189">
            <w:pPr>
              <w:jc w:val="center"/>
              <w:rPr>
                <w:rFonts w:ascii="Times" w:eastAsia="Times New Roman" w:hAnsi="Times" w:cs="Times New Roman"/>
                <w:sz w:val="20"/>
                <w:szCs w:val="20"/>
              </w:rPr>
            </w:pPr>
            <w:bookmarkStart w:id="0" w:name="table1"/>
            <w:bookmarkEnd w:id="0"/>
            <w:r w:rsidRPr="00E14189">
              <w:rPr>
                <w:rFonts w:ascii="Times" w:eastAsia="Times New Roman" w:hAnsi="Times" w:cs="Times New Roman"/>
                <w:i/>
                <w:iCs/>
                <w:sz w:val="20"/>
                <w:szCs w:val="20"/>
              </w:rPr>
              <w:t>Appellant</w:t>
            </w:r>
            <w:r w:rsidRPr="00E14189">
              <w:rPr>
                <w:rFonts w:ascii="Times" w:eastAsia="Times New Roman" w:hAnsi="Times" w:cs="Times New Roman"/>
                <w:sz w:val="20"/>
                <w:szCs w:val="20"/>
              </w:rPr>
              <w:br/>
              <w:t>Stephen Knafler QC</w:t>
            </w:r>
            <w:r w:rsidRPr="00E14189">
              <w:rPr>
                <w:rFonts w:ascii="Times" w:eastAsia="Times New Roman" w:hAnsi="Times" w:cs="Times New Roman"/>
                <w:sz w:val="20"/>
                <w:szCs w:val="20"/>
              </w:rPr>
              <w:br/>
              <w:t>Shu Shin Luh</w:t>
            </w:r>
            <w:r w:rsidRPr="00E14189">
              <w:rPr>
                <w:rFonts w:ascii="Times" w:eastAsia="Times New Roman" w:hAnsi="Times" w:cs="Times New Roman"/>
                <w:sz w:val="20"/>
                <w:szCs w:val="20"/>
              </w:rPr>
              <w:br/>
            </w:r>
            <w:proofErr w:type="gramStart"/>
            <w:r w:rsidRPr="00E14189">
              <w:rPr>
                <w:rFonts w:ascii="Times" w:eastAsia="Times New Roman" w:hAnsi="Times" w:cs="Times New Roman"/>
                <w:sz w:val="20"/>
                <w:szCs w:val="20"/>
              </w:rPr>
              <w:t>(Instructed</w:t>
            </w:r>
            <w:proofErr w:type="gramEnd"/>
            <w:r w:rsidRPr="00E14189">
              <w:rPr>
                <w:rFonts w:ascii="Times" w:eastAsia="Times New Roman" w:hAnsi="Times" w:cs="Times New Roman"/>
                <w:sz w:val="20"/>
                <w:szCs w:val="20"/>
              </w:rPr>
              <w:t xml:space="preserve"> by SouthWest Law)</w:t>
            </w:r>
          </w:p>
        </w:tc>
        <w:tc>
          <w:tcPr>
            <w:tcW w:w="0" w:type="auto"/>
            <w:tcBorders>
              <w:top w:val="outset" w:sz="6" w:space="0" w:color="auto"/>
              <w:left w:val="outset" w:sz="6" w:space="0" w:color="auto"/>
              <w:bottom w:val="outset" w:sz="6" w:space="0" w:color="auto"/>
              <w:right w:val="outset" w:sz="6" w:space="0" w:color="auto"/>
            </w:tcBorders>
            <w:hideMark/>
          </w:tcPr>
          <w:p w:rsidR="00E14189" w:rsidRPr="00E14189" w:rsidRDefault="00E14189" w:rsidP="00E14189">
            <w:pPr>
              <w:jc w:val="center"/>
              <w:rPr>
                <w:rFonts w:ascii="Times" w:eastAsia="Times New Roman" w:hAnsi="Times" w:cs="Times New Roman"/>
                <w:sz w:val="20"/>
                <w:szCs w:val="20"/>
              </w:rPr>
            </w:pPr>
            <w:r w:rsidRPr="00E14189">
              <w:rPr>
                <w:rFonts w:ascii="Times" w:eastAsia="Times New Roman" w:hAnsi="Times"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E14189" w:rsidRPr="00E14189" w:rsidRDefault="00E14189" w:rsidP="00E14189">
            <w:pPr>
              <w:jc w:val="center"/>
              <w:rPr>
                <w:rFonts w:ascii="Times" w:eastAsia="Times New Roman" w:hAnsi="Times" w:cs="Times New Roman"/>
                <w:sz w:val="20"/>
                <w:szCs w:val="20"/>
              </w:rPr>
            </w:pPr>
            <w:r w:rsidRPr="00E14189">
              <w:rPr>
                <w:rFonts w:ascii="Times" w:eastAsia="Times New Roman" w:hAnsi="Times" w:cs="Times New Roman"/>
                <w:i/>
                <w:iCs/>
                <w:sz w:val="20"/>
                <w:szCs w:val="20"/>
              </w:rPr>
              <w:t>Respondent</w:t>
            </w:r>
            <w:r w:rsidRPr="00E14189">
              <w:rPr>
                <w:rFonts w:ascii="Times" w:eastAsia="Times New Roman" w:hAnsi="Times" w:cs="Times New Roman"/>
                <w:sz w:val="20"/>
                <w:szCs w:val="20"/>
              </w:rPr>
              <w:br/>
              <w:t>Robin Tam QC</w:t>
            </w:r>
            <w:r w:rsidRPr="00E14189">
              <w:rPr>
                <w:rFonts w:ascii="Times" w:eastAsia="Times New Roman" w:hAnsi="Times" w:cs="Times New Roman"/>
                <w:sz w:val="20"/>
                <w:szCs w:val="20"/>
              </w:rPr>
              <w:br/>
              <w:t>Susan Chan</w:t>
            </w:r>
            <w:r w:rsidRPr="00E14189">
              <w:rPr>
                <w:rFonts w:ascii="Times" w:eastAsia="Times New Roman" w:hAnsi="Times" w:cs="Times New Roman"/>
                <w:sz w:val="20"/>
                <w:szCs w:val="20"/>
              </w:rPr>
              <w:br/>
            </w:r>
            <w:proofErr w:type="gramStart"/>
            <w:r w:rsidRPr="00E14189">
              <w:rPr>
                <w:rFonts w:ascii="Times" w:eastAsia="Times New Roman" w:hAnsi="Times" w:cs="Times New Roman"/>
                <w:sz w:val="20"/>
                <w:szCs w:val="20"/>
              </w:rPr>
              <w:t>(Instructed</w:t>
            </w:r>
            <w:proofErr w:type="gramEnd"/>
            <w:r w:rsidRPr="00E14189">
              <w:rPr>
                <w:rFonts w:ascii="Times" w:eastAsia="Times New Roman" w:hAnsi="Times" w:cs="Times New Roman"/>
                <w:sz w:val="20"/>
                <w:szCs w:val="20"/>
              </w:rPr>
              <w:t xml:space="preserve"> by Treasury Solicitor)</w:t>
            </w:r>
          </w:p>
        </w:tc>
      </w:tr>
    </w:tbl>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b/>
          <w:bCs/>
          <w:sz w:val="20"/>
          <w:szCs w:val="20"/>
        </w:rPr>
        <w:t xml:space="preserve">LORD TOULSON (with whom Lord Neuberger, Lord Clarke and Lord Wilson agree)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 w:name="para1"/>
      <w:proofErr w:type="gramEnd"/>
      <w:r w:rsidRPr="00E14189">
        <w:rPr>
          <w:rFonts w:ascii="Times" w:eastAsia="Times New Roman" w:hAnsi="Times" w:cs="Times New Roman"/>
          <w:sz w:val="20"/>
          <w:szCs w:val="20"/>
        </w:rPr>
        <w:t xml:space="preserve">The Immigration Act 1971, Schedule 2, paragraph 16(2) ("paragraph 16"), gives power to immigration officers acting on behalf of the Secretary of State to detain a person if there is reasonable ground to suspect that he is liable to be removed as an illegal entrant, pending a decision whether to give removal directions or the implementation of removal directions. </w:t>
      </w:r>
      <w:bookmarkEnd w:id="1"/>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 w:name="para2"/>
      <w:proofErr w:type="gramEnd"/>
      <w:r w:rsidRPr="00E14189">
        <w:rPr>
          <w:rFonts w:ascii="Times" w:eastAsia="Times New Roman" w:hAnsi="Times" w:cs="Times New Roman"/>
          <w:sz w:val="20"/>
          <w:szCs w:val="20"/>
        </w:rPr>
        <w:t xml:space="preserve">Section 55 of the Borders, Citizenship and Immigration Act 2009 ("section 55") imposes duties regarding the welfare of children on the Secretary of State and on immigration officers in all immigration matters.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 w:name="para3"/>
      <w:proofErr w:type="gramEnd"/>
      <w:r w:rsidRPr="00E14189">
        <w:rPr>
          <w:rFonts w:ascii="Times" w:eastAsia="Times New Roman" w:hAnsi="Times" w:cs="Times New Roman"/>
          <w:sz w:val="20"/>
          <w:szCs w:val="20"/>
        </w:rPr>
        <w:t xml:space="preserve">The issue on this appeal is the effect of section 55 on the legality of the appellant's detention under paragraph 16 over a period of 13 days. At the time of the detention the Secretary of State acted in the mistaken but reasonable belief that he was aged over 18. It is now an agreed fact that he was born </w:t>
      </w:r>
      <w:proofErr w:type="gramStart"/>
      <w:r w:rsidRPr="00E14189">
        <w:rPr>
          <w:rFonts w:ascii="Times" w:eastAsia="Times New Roman" w:hAnsi="Times" w:cs="Times New Roman"/>
          <w:sz w:val="20"/>
          <w:szCs w:val="20"/>
        </w:rPr>
        <w:t xml:space="preserve">on </w:t>
      </w:r>
      <w:proofErr w:type="gramEnd"/>
      <w:r w:rsidRPr="00E14189">
        <w:rPr>
          <w:rFonts w:ascii="Times" w:eastAsia="Times New Roman" w:hAnsi="Times" w:cs="Times New Roman"/>
          <w:sz w:val="20"/>
          <w:szCs w:val="20"/>
        </w:rPr>
        <w:t xml:space="preserve">1 February 1993 and so was aged 17. </w:t>
      </w:r>
      <w:proofErr w:type="gramStart"/>
      <w:r w:rsidRPr="00E14189">
        <w:rPr>
          <w:rFonts w:ascii="Times" w:eastAsia="Times New Roman" w:hAnsi="Times" w:cs="Times New Roman"/>
          <w:sz w:val="20"/>
          <w:szCs w:val="20"/>
        </w:rPr>
        <w:t>If his true age had been known he would not have been detained, because his detention would have been contrary to the Secretary of State's p</w:t>
      </w:r>
      <w:proofErr w:type="gramEnd"/>
      <w:r w:rsidRPr="00E14189">
        <w:rPr>
          <w:rFonts w:ascii="Times" w:eastAsia="Times New Roman" w:hAnsi="Times" w:cs="Times New Roman"/>
          <w:sz w:val="20"/>
          <w:szCs w:val="20"/>
        </w:rPr>
        <w:t xml:space="preserve">olicy in relation to minors. The appellant's case is that the fact of his age made his detention unlawful </w:t>
      </w:r>
      <w:proofErr w:type="gramStart"/>
      <w:r w:rsidRPr="00E14189">
        <w:rPr>
          <w:rFonts w:ascii="Times" w:eastAsia="Times New Roman" w:hAnsi="Times" w:cs="Times New Roman"/>
          <w:sz w:val="20"/>
          <w:szCs w:val="20"/>
        </w:rPr>
        <w:t>on</w:t>
      </w:r>
      <w:proofErr w:type="gramEnd"/>
      <w:r w:rsidRPr="00E14189">
        <w:rPr>
          <w:rFonts w:ascii="Times" w:eastAsia="Times New Roman" w:hAnsi="Times" w:cs="Times New Roman"/>
          <w:sz w:val="20"/>
          <w:szCs w:val="20"/>
        </w:rPr>
        <w:t xml:space="preserve"> the proper construction of section 55, and that the Secretary of State's reasonable belief that he was over 18 is no defence to his claim. </w:t>
      </w:r>
      <w:bookmarkEnd w:id="3"/>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i/>
          <w:iCs/>
          <w:sz w:val="20"/>
          <w:szCs w:val="20"/>
        </w:rPr>
        <w:t>Facts</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4" w:name="para4"/>
      <w:proofErr w:type="gramEnd"/>
      <w:r w:rsidRPr="00E14189">
        <w:rPr>
          <w:rFonts w:ascii="Times" w:eastAsia="Times New Roman" w:hAnsi="Times" w:cs="Times New Roman"/>
          <w:sz w:val="20"/>
          <w:szCs w:val="20"/>
        </w:rPr>
        <w:t xml:space="preserve">The appellant was born in Afghanistan. He arrived in the United Kingdom </w:t>
      </w:r>
      <w:proofErr w:type="gramStart"/>
      <w:r w:rsidRPr="00E14189">
        <w:rPr>
          <w:rFonts w:ascii="Times" w:eastAsia="Times New Roman" w:hAnsi="Times" w:cs="Times New Roman"/>
          <w:sz w:val="20"/>
          <w:szCs w:val="20"/>
        </w:rPr>
        <w:t xml:space="preserve">on </w:t>
      </w:r>
      <w:proofErr w:type="gramEnd"/>
      <w:r w:rsidRPr="00E14189">
        <w:rPr>
          <w:rFonts w:ascii="Times" w:eastAsia="Times New Roman" w:hAnsi="Times" w:cs="Times New Roman"/>
          <w:sz w:val="20"/>
          <w:szCs w:val="20"/>
        </w:rPr>
        <w:t xml:space="preserve">8 October 2008, concealed in a lorry. He was caught and arrested. He said that he was aged </w:t>
      </w:r>
      <w:proofErr w:type="gramStart"/>
      <w:r w:rsidRPr="00E14189">
        <w:rPr>
          <w:rFonts w:ascii="Times" w:eastAsia="Times New Roman" w:hAnsi="Times" w:cs="Times New Roman"/>
          <w:sz w:val="20"/>
          <w:szCs w:val="20"/>
        </w:rPr>
        <w:t>14</w:t>
      </w:r>
      <w:proofErr w:type="gramEnd"/>
      <w:r w:rsidRPr="00E14189">
        <w:rPr>
          <w:rFonts w:ascii="Times" w:eastAsia="Times New Roman" w:hAnsi="Times" w:cs="Times New Roman"/>
          <w:sz w:val="20"/>
          <w:szCs w:val="20"/>
        </w:rPr>
        <w:t xml:space="preserve"> and claimed asylum. </w:t>
      </w:r>
      <w:proofErr w:type="gramStart"/>
      <w:r w:rsidRPr="00E14189">
        <w:rPr>
          <w:rFonts w:ascii="Times" w:eastAsia="Times New Roman" w:hAnsi="Times" w:cs="Times New Roman"/>
          <w:sz w:val="20"/>
          <w:szCs w:val="20"/>
        </w:rPr>
        <w:t>On the next day an age assessment was carried out by social workers from the children's services department of Hampshire County Council ("Ha</w:t>
      </w:r>
      <w:proofErr w:type="gramEnd"/>
      <w:r w:rsidRPr="00E14189">
        <w:rPr>
          <w:rFonts w:ascii="Times" w:eastAsia="Times New Roman" w:hAnsi="Times" w:cs="Times New Roman"/>
          <w:sz w:val="20"/>
          <w:szCs w:val="20"/>
        </w:rPr>
        <w:t xml:space="preserve">mpshire"). They concluded that he was over </w:t>
      </w:r>
      <w:proofErr w:type="gramStart"/>
      <w:r w:rsidRPr="00E14189">
        <w:rPr>
          <w:rFonts w:ascii="Times" w:eastAsia="Times New Roman" w:hAnsi="Times" w:cs="Times New Roman"/>
          <w:sz w:val="20"/>
          <w:szCs w:val="20"/>
        </w:rPr>
        <w:t>19</w:t>
      </w:r>
      <w:proofErr w:type="gramEnd"/>
      <w:r w:rsidRPr="00E14189">
        <w:rPr>
          <w:rFonts w:ascii="Times" w:eastAsia="Times New Roman" w:hAnsi="Times" w:cs="Times New Roman"/>
          <w:sz w:val="20"/>
          <w:szCs w:val="20"/>
        </w:rPr>
        <w:t xml:space="preserve"> and so reported to the Secretary of State. </w:t>
      </w:r>
      <w:proofErr w:type="gramStart"/>
      <w:r w:rsidRPr="00E14189">
        <w:rPr>
          <w:rFonts w:ascii="Times" w:eastAsia="Times New Roman" w:hAnsi="Times" w:cs="Times New Roman"/>
          <w:sz w:val="20"/>
          <w:szCs w:val="20"/>
        </w:rPr>
        <w:t>Thereafter the appellant was granted temporary admission and released from immigration detention</w:t>
      </w:r>
      <w:proofErr w:type="gramEnd"/>
      <w:r w:rsidRPr="00E14189">
        <w:rPr>
          <w:rFonts w:ascii="Times" w:eastAsia="Times New Roman" w:hAnsi="Times" w:cs="Times New Roman"/>
          <w:sz w:val="20"/>
          <w:szCs w:val="20"/>
        </w:rPr>
        <w:t xml:space="preserve">. </w:t>
      </w:r>
      <w:bookmarkEnd w:id="4"/>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 w:name="para5"/>
      <w:proofErr w:type="gramEnd"/>
      <w:r w:rsidRPr="00E14189">
        <w:rPr>
          <w:rFonts w:ascii="Times" w:eastAsia="Times New Roman" w:hAnsi="Times" w:cs="Times New Roman"/>
          <w:sz w:val="20"/>
          <w:szCs w:val="20"/>
        </w:rPr>
        <w:t xml:space="preserve">On 6 November 2008 the Secretary of State refused the appellant's asylum claim and made a decision to remove him as an illegal entrant. </w:t>
      </w:r>
      <w:proofErr w:type="gramStart"/>
      <w:r w:rsidRPr="00E14189">
        <w:rPr>
          <w:rFonts w:ascii="Times" w:eastAsia="Times New Roman" w:hAnsi="Times" w:cs="Times New Roman"/>
          <w:sz w:val="20"/>
          <w:szCs w:val="20"/>
        </w:rPr>
        <w:t xml:space="preserve">On </w:t>
      </w:r>
      <w:proofErr w:type="gramEnd"/>
      <w:r w:rsidRPr="00E14189">
        <w:rPr>
          <w:rFonts w:ascii="Times" w:eastAsia="Times New Roman" w:hAnsi="Times" w:cs="Times New Roman"/>
          <w:sz w:val="20"/>
          <w:szCs w:val="20"/>
        </w:rPr>
        <w:t xml:space="preserve">1 March 2010 the First Tier Tribunal (Immigration and Asylum Chamber) dismissed the appeal. In his determination the immigration judge found that he was satisfied that the appellant was aged over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w:t>
      </w:r>
      <w:bookmarkEnd w:id="5"/>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r w:rsidRPr="00E14189">
        <w:rPr>
          <w:rFonts w:ascii="Times" w:eastAsia="Times New Roman" w:hAnsi="Times" w:cs="Times New Roman"/>
          <w:sz w:val="20"/>
          <w:szCs w:val="20"/>
        </w:rPr>
        <w:t xml:space="preserve">  </w:t>
      </w:r>
      <w:bookmarkStart w:id="6" w:name="para6"/>
      <w:r w:rsidRPr="00E14189">
        <w:rPr>
          <w:rFonts w:ascii="Times" w:eastAsia="Times New Roman" w:hAnsi="Times" w:cs="Times New Roman"/>
          <w:sz w:val="20"/>
          <w:szCs w:val="20"/>
        </w:rPr>
        <w:t xml:space="preserve">In April 2010 solicitors for the appellant wrote to the Secretary of State stating that they were instructed to challenge Hampshire's age assessment, which they did not consider had complied with the guidance on the conduct of age assessments given by Stanley Burnton J in </w:t>
      </w:r>
      <w:r w:rsidRPr="00E14189">
        <w:rPr>
          <w:rFonts w:ascii="Times" w:eastAsia="Times New Roman" w:hAnsi="Times" w:cs="Times New Roman"/>
          <w:i/>
          <w:iCs/>
          <w:sz w:val="20"/>
          <w:szCs w:val="20"/>
        </w:rPr>
        <w:t>R (B) v Merton London</w:t>
      </w:r>
      <w:r w:rsidRPr="00E14189">
        <w:rPr>
          <w:rFonts w:ascii="Times" w:eastAsia="Times New Roman" w:hAnsi="Times" w:cs="Times New Roman"/>
          <w:sz w:val="20"/>
          <w:szCs w:val="20"/>
        </w:rPr>
        <w:t xml:space="preserve"> </w:t>
      </w:r>
      <w:r w:rsidRPr="00E14189">
        <w:rPr>
          <w:rFonts w:ascii="Times" w:eastAsia="Times New Roman" w:hAnsi="Times" w:cs="Times New Roman"/>
          <w:i/>
          <w:iCs/>
          <w:sz w:val="20"/>
          <w:szCs w:val="20"/>
        </w:rPr>
        <w:t>Borough Council</w:t>
      </w:r>
      <w:r w:rsidRPr="00E14189">
        <w:rPr>
          <w:rFonts w:ascii="Times" w:eastAsia="Times New Roman" w:hAnsi="Times" w:cs="Times New Roman"/>
          <w:sz w:val="20"/>
          <w:szCs w:val="20"/>
        </w:rPr>
        <w:t xml:space="preserve"> </w:t>
      </w:r>
      <w:bookmarkEnd w:id="6"/>
      <w:r w:rsidRPr="00E14189">
        <w:rPr>
          <w:rFonts w:ascii="Times" w:eastAsia="Times New Roman" w:hAnsi="Times" w:cs="Times New Roman"/>
          <w:sz w:val="20"/>
          <w:szCs w:val="20"/>
        </w:rPr>
        <w:fldChar w:fldCharType="begin"/>
      </w:r>
      <w:r w:rsidRPr="00E14189">
        <w:rPr>
          <w:rFonts w:ascii="Times" w:eastAsia="Times New Roman" w:hAnsi="Times" w:cs="Times New Roman"/>
          <w:sz w:val="20"/>
          <w:szCs w:val="20"/>
        </w:rPr>
        <w:instrText xml:space="preserve"> HYPERLINK "http://www.bailii.org/ew/cases/EWHC/Admin/2003/1689.html" \o "Link to BAILII version" </w:instrText>
      </w:r>
      <w:r w:rsidRPr="00E14189">
        <w:rPr>
          <w:rFonts w:ascii="Times" w:eastAsia="Times New Roman" w:hAnsi="Times" w:cs="Times New Roman"/>
          <w:sz w:val="20"/>
          <w:szCs w:val="20"/>
        </w:rPr>
      </w:r>
      <w:r w:rsidRPr="00E14189">
        <w:rPr>
          <w:rFonts w:ascii="Times" w:eastAsia="Times New Roman" w:hAnsi="Times" w:cs="Times New Roman"/>
          <w:sz w:val="20"/>
          <w:szCs w:val="20"/>
        </w:rPr>
        <w:fldChar w:fldCharType="separate"/>
      </w:r>
      <w:r w:rsidRPr="00E14189">
        <w:rPr>
          <w:rFonts w:ascii="Times" w:eastAsia="Times New Roman" w:hAnsi="Times" w:cs="Times New Roman"/>
          <w:color w:val="0000FF"/>
          <w:sz w:val="20"/>
          <w:szCs w:val="20"/>
          <w:u w:val="single"/>
        </w:rPr>
        <w:t>[2003] EWHC 1689 (Admin)</w:t>
      </w:r>
      <w:r w:rsidRPr="00E14189">
        <w:rPr>
          <w:rFonts w:ascii="Times" w:eastAsia="Times New Roman" w:hAnsi="Times" w:cs="Times New Roman"/>
          <w:sz w:val="20"/>
          <w:szCs w:val="20"/>
        </w:rPr>
        <w:fldChar w:fldCharType="end"/>
      </w:r>
      <w:r w:rsidRPr="00E14189">
        <w:rPr>
          <w:rFonts w:ascii="Times" w:eastAsia="Times New Roman" w:hAnsi="Times" w:cs="Times New Roman"/>
          <w:sz w:val="20"/>
          <w:szCs w:val="20"/>
        </w:rPr>
        <w:t xml:space="preserve">, </w:t>
      </w:r>
      <w:hyperlink r:id="rId7" w:tooltip="Link to BAILII version" w:history="1">
        <w:r w:rsidRPr="00E14189">
          <w:rPr>
            <w:rFonts w:ascii="Times" w:eastAsia="Times New Roman" w:hAnsi="Times" w:cs="Times New Roman"/>
            <w:color w:val="0000FF"/>
            <w:sz w:val="20"/>
            <w:szCs w:val="20"/>
            <w:u w:val="single"/>
          </w:rPr>
          <w:t>[2003] 4 All ER 280</w:t>
        </w:r>
      </w:hyperlink>
      <w:r w:rsidRPr="00E14189">
        <w:rPr>
          <w:rFonts w:ascii="Times" w:eastAsia="Times New Roman" w:hAnsi="Times" w:cs="Times New Roman"/>
          <w:sz w:val="20"/>
          <w:szCs w:val="20"/>
        </w:rPr>
        <w:t xml:space="preserve">. </w:t>
      </w:r>
      <w:proofErr w:type="gramStart"/>
      <w:r w:rsidRPr="00E14189">
        <w:rPr>
          <w:rFonts w:ascii="Times" w:eastAsia="Times New Roman" w:hAnsi="Times" w:cs="Times New Roman"/>
          <w:sz w:val="20"/>
          <w:szCs w:val="20"/>
        </w:rPr>
        <w:t>The solicitors also asked Hampshire to re-assess the appellant's age</w:t>
      </w:r>
      <w:proofErr w:type="gramEnd"/>
      <w:r w:rsidRPr="00E14189">
        <w:rPr>
          <w:rFonts w:ascii="Times" w:eastAsia="Times New Roman" w:hAnsi="Times" w:cs="Times New Roman"/>
          <w:sz w:val="20"/>
          <w:szCs w:val="20"/>
        </w:rPr>
        <w:t xml:space="preserve">. Since the appellant was then living in </w:t>
      </w:r>
      <w:proofErr w:type="gramStart"/>
      <w:r w:rsidRPr="00E14189">
        <w:rPr>
          <w:rFonts w:ascii="Times" w:eastAsia="Times New Roman" w:hAnsi="Times" w:cs="Times New Roman"/>
          <w:sz w:val="20"/>
          <w:szCs w:val="20"/>
        </w:rPr>
        <w:t>the Cardiff</w:t>
      </w:r>
      <w:proofErr w:type="gramEnd"/>
      <w:r w:rsidRPr="00E14189">
        <w:rPr>
          <w:rFonts w:ascii="Times" w:eastAsia="Times New Roman" w:hAnsi="Times" w:cs="Times New Roman"/>
          <w:sz w:val="20"/>
          <w:szCs w:val="20"/>
        </w:rPr>
        <w:t xml:space="preserve"> area, Hampshire suggested that Cardiff City Council ("Cardiff") should be asked to carry out a re-assessment. Cardiff agreed but there was a period of delay.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7" w:name="para7"/>
      <w:proofErr w:type="gramEnd"/>
      <w:r w:rsidRPr="00E14189">
        <w:rPr>
          <w:rFonts w:ascii="Times" w:eastAsia="Times New Roman" w:hAnsi="Times" w:cs="Times New Roman"/>
          <w:sz w:val="20"/>
          <w:szCs w:val="20"/>
        </w:rPr>
        <w:t xml:space="preserve">On 7 July 2010 the appellant was detained under paragraph 16. On the same day the Secretary of State set directions for his removal </w:t>
      </w:r>
      <w:proofErr w:type="gramStart"/>
      <w:r w:rsidRPr="00E14189">
        <w:rPr>
          <w:rFonts w:ascii="Times" w:eastAsia="Times New Roman" w:hAnsi="Times" w:cs="Times New Roman"/>
          <w:sz w:val="20"/>
          <w:szCs w:val="20"/>
        </w:rPr>
        <w:t xml:space="preserve">to </w:t>
      </w:r>
      <w:proofErr w:type="gramEnd"/>
      <w:r w:rsidRPr="00E14189">
        <w:rPr>
          <w:rFonts w:ascii="Times" w:eastAsia="Times New Roman" w:hAnsi="Times" w:cs="Times New Roman"/>
          <w:sz w:val="20"/>
          <w:szCs w:val="20"/>
        </w:rPr>
        <w:t xml:space="preserve">Afghanistan on 20 July 2010. </w:t>
      </w:r>
      <w:bookmarkEnd w:id="7"/>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8" w:name="para8"/>
      <w:proofErr w:type="gramEnd"/>
      <w:r w:rsidRPr="00E14189">
        <w:rPr>
          <w:rFonts w:ascii="Times" w:eastAsia="Times New Roman" w:hAnsi="Times" w:cs="Times New Roman"/>
          <w:sz w:val="20"/>
          <w:szCs w:val="20"/>
        </w:rPr>
        <w:t xml:space="preserve">On 20 July 2010, in the High Court at Cardiff, the appellant issued a claim form for judicial review against Cardiff, Hampshire and the Secretary of State. Among other forms of relief the appellant claimed: </w:t>
      </w:r>
      <w:bookmarkEnd w:id="8"/>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i) an order quashing Hampshire's age assessment carried out </w:t>
      </w:r>
      <w:proofErr w:type="gramStart"/>
      <w:r w:rsidRPr="00E14189">
        <w:rPr>
          <w:rFonts w:ascii="Times" w:eastAsia="Times New Roman" w:hAnsi="Times" w:cs="Times New Roman"/>
          <w:sz w:val="20"/>
          <w:szCs w:val="20"/>
        </w:rPr>
        <w:t>on</w:t>
      </w:r>
      <w:proofErr w:type="gramEnd"/>
      <w:r w:rsidRPr="00E14189">
        <w:rPr>
          <w:rFonts w:ascii="Times" w:eastAsia="Times New Roman" w:hAnsi="Times" w:cs="Times New Roman"/>
          <w:sz w:val="20"/>
          <w:szCs w:val="20"/>
        </w:rPr>
        <w:t xml:space="preserve"> 9 October 2008;</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lastRenderedPageBreak/>
        <w:t>ii) an order requiring Cardiff to carry out an age assessment;</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iii</w:t>
      </w:r>
      <w:proofErr w:type="gramEnd"/>
      <w:r w:rsidRPr="00E14189">
        <w:rPr>
          <w:rFonts w:ascii="Times" w:eastAsia="Times New Roman" w:hAnsi="Times" w:cs="Times New Roman"/>
          <w:sz w:val="20"/>
          <w:szCs w:val="20"/>
        </w:rPr>
        <w:t>) an order requiring Cardiff to provide suitable age-appropriate support and accommodation to the appellant, pursuant to the Children Act 1989, pending completion of the age assessment and the judicial review proceedings;</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iv) a declaration that the Secretary of State's detention of the appellant and issue of removal directions were unlawful;</w:t>
      </w:r>
      <w:proofErr w:type="gramEnd"/>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v) an order staying </w:t>
      </w:r>
      <w:proofErr w:type="gramStart"/>
      <w:r w:rsidRPr="00E14189">
        <w:rPr>
          <w:rFonts w:ascii="Times" w:eastAsia="Times New Roman" w:hAnsi="Times" w:cs="Times New Roman"/>
          <w:sz w:val="20"/>
          <w:szCs w:val="20"/>
        </w:rPr>
        <w:t>the implementation</w:t>
      </w:r>
      <w:proofErr w:type="gramEnd"/>
      <w:r w:rsidRPr="00E14189">
        <w:rPr>
          <w:rFonts w:ascii="Times" w:eastAsia="Times New Roman" w:hAnsi="Times" w:cs="Times New Roman"/>
          <w:sz w:val="20"/>
          <w:szCs w:val="20"/>
        </w:rPr>
        <w:t xml:space="preserve"> of the removal directions until further order;</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vi</w:t>
      </w:r>
      <w:proofErr w:type="gramEnd"/>
      <w:r w:rsidRPr="00E14189">
        <w:rPr>
          <w:rFonts w:ascii="Times" w:eastAsia="Times New Roman" w:hAnsi="Times" w:cs="Times New Roman"/>
          <w:sz w:val="20"/>
          <w:szCs w:val="20"/>
        </w:rPr>
        <w:t>) damages.</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9" w:name="para9"/>
      <w:proofErr w:type="gramEnd"/>
      <w:r w:rsidRPr="00E14189">
        <w:rPr>
          <w:rFonts w:ascii="Times" w:eastAsia="Times New Roman" w:hAnsi="Times" w:cs="Times New Roman"/>
          <w:sz w:val="20"/>
          <w:szCs w:val="20"/>
        </w:rPr>
        <w:t xml:space="preserve">On the same day Judge Bidder QC, sitting as a deputy High Court judge, granted temporary relief to the appellant. He ordered that his removal should be stayed, pending the </w:t>
      </w:r>
      <w:proofErr w:type="gramStart"/>
      <w:r w:rsidRPr="00E14189">
        <w:rPr>
          <w:rFonts w:ascii="Times" w:eastAsia="Times New Roman" w:hAnsi="Times" w:cs="Times New Roman"/>
          <w:sz w:val="20"/>
          <w:szCs w:val="20"/>
        </w:rPr>
        <w:t>outcome</w:t>
      </w:r>
      <w:proofErr w:type="gramEnd"/>
      <w:r w:rsidRPr="00E14189">
        <w:rPr>
          <w:rFonts w:ascii="Times" w:eastAsia="Times New Roman" w:hAnsi="Times" w:cs="Times New Roman"/>
          <w:sz w:val="20"/>
          <w:szCs w:val="20"/>
        </w:rPr>
        <w:t xml:space="preserve"> of his application for permission for judicial review, and that in the meantime he should be released from immigration detention and provided with support and accommodation by Cardiff. </w:t>
      </w:r>
      <w:bookmarkEnd w:id="9"/>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0" w:name="para10"/>
      <w:proofErr w:type="gramEnd"/>
      <w:r w:rsidRPr="00E14189">
        <w:rPr>
          <w:rFonts w:ascii="Times" w:eastAsia="Times New Roman" w:hAnsi="Times" w:cs="Times New Roman"/>
          <w:sz w:val="20"/>
          <w:szCs w:val="20"/>
        </w:rPr>
        <w:t xml:space="preserve">On 6 August 2010 Cardiff notified the Secretary of State that its social services asylum team had carried out a fresh assessment in accordance with the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 guidelines and accepted that his date of birth was 1 February 1993. The Secretary of State in turn accepted the fresh assessment. </w:t>
      </w:r>
      <w:bookmarkEnd w:id="10"/>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1" w:name="para11"/>
      <w:proofErr w:type="gramEnd"/>
      <w:r w:rsidRPr="00E14189">
        <w:rPr>
          <w:rFonts w:ascii="Times" w:eastAsia="Times New Roman" w:hAnsi="Times" w:cs="Times New Roman"/>
          <w:sz w:val="20"/>
          <w:szCs w:val="20"/>
        </w:rPr>
        <w:t xml:space="preserve">The appellant's application for permission to apply for judicial review against Hampshire and Cardiff was withdrawn by consent on terms that Cardiff agreed to treat him as a child under the Children Act 1989, so providing him with accommodation under section 20 and associated support under sections 22 and 23. </w:t>
      </w:r>
      <w:bookmarkEnd w:id="11"/>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2" w:name="para12"/>
      <w:proofErr w:type="gramEnd"/>
      <w:r w:rsidRPr="00E14189">
        <w:rPr>
          <w:rFonts w:ascii="Times" w:eastAsia="Times New Roman" w:hAnsi="Times" w:cs="Times New Roman"/>
          <w:sz w:val="20"/>
          <w:szCs w:val="20"/>
        </w:rPr>
        <w:t xml:space="preserve">The appellant continued with his application for permission to apply for judicial review against the Secretary of State. On 7 March 2011 Blake J dismissed the application after an oral hearing: </w:t>
      </w:r>
      <w:bookmarkEnd w:id="12"/>
      <w:r w:rsidRPr="00E14189">
        <w:rPr>
          <w:rFonts w:ascii="Times" w:eastAsia="Times New Roman" w:hAnsi="Times" w:cs="Times New Roman"/>
          <w:sz w:val="20"/>
          <w:szCs w:val="20"/>
        </w:rPr>
        <w:fldChar w:fldCharType="begin"/>
      </w:r>
      <w:r w:rsidRPr="00E14189">
        <w:rPr>
          <w:rFonts w:ascii="Times" w:eastAsia="Times New Roman" w:hAnsi="Times" w:cs="Times New Roman"/>
          <w:sz w:val="20"/>
          <w:szCs w:val="20"/>
        </w:rPr>
        <w:instrText xml:space="preserve"> HYPERLINK "http://www.bailii.org/ew/cases/EWHC/Admin/2011/1216.html" \o "Link to BAILII version" </w:instrText>
      </w:r>
      <w:r w:rsidRPr="00E14189">
        <w:rPr>
          <w:rFonts w:ascii="Times" w:eastAsia="Times New Roman" w:hAnsi="Times" w:cs="Times New Roman"/>
          <w:sz w:val="20"/>
          <w:szCs w:val="20"/>
        </w:rPr>
      </w:r>
      <w:r w:rsidRPr="00E14189">
        <w:rPr>
          <w:rFonts w:ascii="Times" w:eastAsia="Times New Roman" w:hAnsi="Times" w:cs="Times New Roman"/>
          <w:sz w:val="20"/>
          <w:szCs w:val="20"/>
        </w:rPr>
        <w:fldChar w:fldCharType="separate"/>
      </w:r>
      <w:r w:rsidRPr="00E14189">
        <w:rPr>
          <w:rFonts w:ascii="Times" w:eastAsia="Times New Roman" w:hAnsi="Times" w:cs="Times New Roman"/>
          <w:color w:val="0000FF"/>
          <w:sz w:val="20"/>
          <w:szCs w:val="20"/>
          <w:u w:val="single"/>
        </w:rPr>
        <w:t>[2011] EWHC 1216 (Admin)</w:t>
      </w:r>
      <w:r w:rsidRPr="00E14189">
        <w:rPr>
          <w:rFonts w:ascii="Times" w:eastAsia="Times New Roman" w:hAnsi="Times" w:cs="Times New Roman"/>
          <w:sz w:val="20"/>
          <w:szCs w:val="20"/>
        </w:rPr>
        <w:fldChar w:fldCharType="end"/>
      </w:r>
      <w:r w:rsidRPr="00E14189">
        <w:rPr>
          <w:rFonts w:ascii="Times" w:eastAsia="Times New Roman" w:hAnsi="Times" w:cs="Times New Roman"/>
          <w:sz w:val="20"/>
          <w:szCs w:val="20"/>
        </w:rPr>
        <w:t xml:space="preserve">. </w:t>
      </w:r>
      <w:proofErr w:type="gramStart"/>
      <w:r w:rsidRPr="00E14189">
        <w:rPr>
          <w:rFonts w:ascii="Times" w:eastAsia="Times New Roman" w:hAnsi="Times" w:cs="Times New Roman"/>
          <w:sz w:val="20"/>
          <w:szCs w:val="20"/>
        </w:rPr>
        <w:t>He described the appellant's argument as intermingling matters of policy with the requirements of the statutory regime for detention</w:t>
      </w:r>
      <w:proofErr w:type="gramEnd"/>
      <w:r w:rsidRPr="00E14189">
        <w:rPr>
          <w:rFonts w:ascii="Times" w:eastAsia="Times New Roman" w:hAnsi="Times" w:cs="Times New Roman"/>
          <w:sz w:val="20"/>
          <w:szCs w:val="20"/>
        </w:rPr>
        <w:t xml:space="preserve">. </w:t>
      </w:r>
      <w:proofErr w:type="gramStart"/>
      <w:r w:rsidRPr="00E14189">
        <w:rPr>
          <w:rFonts w:ascii="Times" w:eastAsia="Times New Roman" w:hAnsi="Times" w:cs="Times New Roman"/>
          <w:sz w:val="20"/>
          <w:szCs w:val="20"/>
        </w:rPr>
        <w:t>Paragraph 16 permitted the detention of children if the statutory conditions were met, but there were strong policy reasons against such det</w:t>
      </w:r>
      <w:proofErr w:type="gramEnd"/>
      <w:r w:rsidRPr="00E14189">
        <w:rPr>
          <w:rFonts w:ascii="Times" w:eastAsia="Times New Roman" w:hAnsi="Times" w:cs="Times New Roman"/>
          <w:sz w:val="20"/>
          <w:szCs w:val="20"/>
        </w:rPr>
        <w:t xml:space="preserve">ention unless it was necessary in all the circumstances. He continued </w:t>
      </w:r>
      <w:proofErr w:type="gramStart"/>
      <w:r w:rsidRPr="00E14189">
        <w:rPr>
          <w:rFonts w:ascii="Times" w:eastAsia="Times New Roman" w:hAnsi="Times" w:cs="Times New Roman"/>
          <w:sz w:val="20"/>
          <w:szCs w:val="20"/>
        </w:rPr>
        <w:t>at</w:t>
      </w:r>
      <w:proofErr w:type="gramEnd"/>
      <w:r w:rsidRPr="00E14189">
        <w:rPr>
          <w:rFonts w:ascii="Times" w:eastAsia="Times New Roman" w:hAnsi="Times" w:cs="Times New Roman"/>
          <w:sz w:val="20"/>
          <w:szCs w:val="20"/>
        </w:rPr>
        <w:t xml:space="preserve"> para 13: </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"Insofar as the applicant relies upon policy, then in my judgment the </w:t>
      </w:r>
      <w:proofErr w:type="gramStart"/>
      <w:r w:rsidRPr="00E14189">
        <w:rPr>
          <w:rFonts w:ascii="Times" w:eastAsia="Times New Roman" w:hAnsi="Times" w:cs="Times New Roman"/>
          <w:sz w:val="20"/>
          <w:szCs w:val="20"/>
        </w:rPr>
        <w:t>application</w:t>
      </w:r>
      <w:proofErr w:type="gramEnd"/>
      <w:r w:rsidRPr="00E14189">
        <w:rPr>
          <w:rFonts w:ascii="Times" w:eastAsia="Times New Roman" w:hAnsi="Times" w:cs="Times New Roman"/>
          <w:sz w:val="20"/>
          <w:szCs w:val="20"/>
        </w:rPr>
        <w:t xml:space="preserve"> of policy depends upon the assessment of facts made by the decision maker at the material time. </w:t>
      </w:r>
      <w:proofErr w:type="gramStart"/>
      <w:r w:rsidRPr="00E14189">
        <w:rPr>
          <w:rFonts w:ascii="Times" w:eastAsia="Times New Roman" w:hAnsi="Times" w:cs="Times New Roman"/>
          <w:sz w:val="20"/>
          <w:szCs w:val="20"/>
        </w:rPr>
        <w:t>At</w:t>
      </w:r>
      <w:proofErr w:type="gramEnd"/>
      <w:r w:rsidRPr="00E14189">
        <w:rPr>
          <w:rFonts w:ascii="Times" w:eastAsia="Times New Roman" w:hAnsi="Times" w:cs="Times New Roman"/>
          <w:sz w:val="20"/>
          <w:szCs w:val="20"/>
        </w:rPr>
        <w:t xml:space="preserve"> the time this applicant was detained the Secretary of State knew that Hampshire had assessed him to be over 18 in an assessment which they claimed was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-compliant. Secondly he knew that the immigration judge, acting </w:t>
      </w:r>
      <w:proofErr w:type="gramStart"/>
      <w:r w:rsidRPr="00E14189">
        <w:rPr>
          <w:rFonts w:ascii="Times" w:eastAsia="Times New Roman" w:hAnsi="Times" w:cs="Times New Roman"/>
          <w:sz w:val="20"/>
          <w:szCs w:val="20"/>
        </w:rPr>
        <w:t xml:space="preserve">on </w:t>
      </w:r>
      <w:proofErr w:type="gramEnd"/>
      <w:r w:rsidRPr="00E14189">
        <w:rPr>
          <w:rFonts w:ascii="Times" w:eastAsia="Times New Roman" w:hAnsi="Times" w:cs="Times New Roman"/>
          <w:sz w:val="20"/>
          <w:szCs w:val="20"/>
        </w:rPr>
        <w:t xml:space="preserve">all material available to him in February 2010, had reached a similar conclusion not entirely dependant upon the approach of Hampshire. </w:t>
      </w:r>
      <w:proofErr w:type="gramStart"/>
      <w:r w:rsidRPr="00E14189">
        <w:rPr>
          <w:rFonts w:ascii="Times" w:eastAsia="Times New Roman" w:hAnsi="Times" w:cs="Times New Roman"/>
          <w:sz w:val="20"/>
          <w:szCs w:val="20"/>
        </w:rPr>
        <w:t>Thirdly, no discrete submissions had been made to the Secretary of State as to why the immigration judge and/or Hampshire assessment was wrong in fact."</w:t>
      </w:r>
      <w:proofErr w:type="gramEnd"/>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3" w:name="para13"/>
      <w:proofErr w:type="gramEnd"/>
      <w:r w:rsidRPr="00E14189">
        <w:rPr>
          <w:rFonts w:ascii="Times" w:eastAsia="Times New Roman" w:hAnsi="Times" w:cs="Times New Roman"/>
          <w:sz w:val="20"/>
          <w:szCs w:val="20"/>
        </w:rPr>
        <w:t xml:space="preserve">He held that in the circumstances the Secretary of State had no reason to have reached a conclusion contrary to that of the other authorities. </w:t>
      </w:r>
      <w:bookmarkEnd w:id="13"/>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4" w:name="para14"/>
      <w:proofErr w:type="gramEnd"/>
      <w:r w:rsidRPr="00E14189">
        <w:rPr>
          <w:rFonts w:ascii="Times" w:eastAsia="Times New Roman" w:hAnsi="Times" w:cs="Times New Roman"/>
          <w:sz w:val="20"/>
          <w:szCs w:val="20"/>
        </w:rPr>
        <w:t xml:space="preserve">The appellant applied for permission to appeal to the Court of Appeal. After considering the </w:t>
      </w:r>
      <w:proofErr w:type="gramStart"/>
      <w:r w:rsidRPr="00E14189">
        <w:rPr>
          <w:rFonts w:ascii="Times" w:eastAsia="Times New Roman" w:hAnsi="Times" w:cs="Times New Roman"/>
          <w:sz w:val="20"/>
          <w:szCs w:val="20"/>
        </w:rPr>
        <w:t>application</w:t>
      </w:r>
      <w:proofErr w:type="gramEnd"/>
      <w:r w:rsidRPr="00E14189">
        <w:rPr>
          <w:rFonts w:ascii="Times" w:eastAsia="Times New Roman" w:hAnsi="Times" w:cs="Times New Roman"/>
          <w:sz w:val="20"/>
          <w:szCs w:val="20"/>
        </w:rPr>
        <w:t xml:space="preserve"> on paper, on 14 June 2011 Sir Richard Buxton granted the appellant limited permission to apply for judicial review, and directed that the case should be retained in the Court of Appeal, on the following ground: </w:t>
      </w:r>
      <w:bookmarkEnd w:id="14"/>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"It is … arguable that, </w:t>
      </w:r>
      <w:proofErr w:type="gramStart"/>
      <w:r w:rsidRPr="00E14189">
        <w:rPr>
          <w:rFonts w:ascii="Times" w:eastAsia="Times New Roman" w:hAnsi="Times" w:cs="Times New Roman"/>
          <w:sz w:val="20"/>
          <w:szCs w:val="20"/>
        </w:rPr>
        <w:t>on</w:t>
      </w:r>
      <w:proofErr w:type="gramEnd"/>
      <w:r w:rsidRPr="00E14189">
        <w:rPr>
          <w:rFonts w:ascii="Times" w:eastAsia="Times New Roman" w:hAnsi="Times" w:cs="Times New Roman"/>
          <w:sz w:val="20"/>
          <w:szCs w:val="20"/>
        </w:rPr>
        <w:t xml:space="preserve"> the basis of the approach of the Supreme Court in </w:t>
      </w:r>
      <w:r w:rsidRPr="00E14189">
        <w:rPr>
          <w:rFonts w:ascii="Times" w:eastAsia="Times New Roman" w:hAnsi="Times" w:cs="Times New Roman"/>
          <w:i/>
          <w:iCs/>
          <w:sz w:val="20"/>
          <w:szCs w:val="20"/>
        </w:rPr>
        <w:t>Croydon</w:t>
      </w:r>
      <w:r w:rsidRPr="00E14189">
        <w:rPr>
          <w:rFonts w:ascii="Times" w:eastAsia="Times New Roman" w:hAnsi="Times" w:cs="Times New Roman"/>
          <w:sz w:val="20"/>
          <w:szCs w:val="20"/>
        </w:rPr>
        <w:t>, the lawfulness of the Secretary of State's decision should be assessed on the basis that, whatever the understanding at the time, the applicant was a child and should have been treated as such, including not being removed from the United Kingdom and therefore not being detained pending removal."</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r w:rsidRPr="00E14189">
        <w:rPr>
          <w:rFonts w:ascii="Times" w:eastAsia="Times New Roman" w:hAnsi="Times" w:cs="Times New Roman"/>
          <w:sz w:val="20"/>
          <w:szCs w:val="20"/>
        </w:rPr>
        <w:t xml:space="preserve">  </w:t>
      </w:r>
      <w:bookmarkStart w:id="15" w:name="para15"/>
      <w:r w:rsidRPr="00E14189">
        <w:rPr>
          <w:rFonts w:ascii="Times" w:eastAsia="Times New Roman" w:hAnsi="Times" w:cs="Times New Roman"/>
          <w:sz w:val="20"/>
          <w:szCs w:val="20"/>
        </w:rPr>
        <w:t xml:space="preserve">The reference to </w:t>
      </w:r>
      <w:r w:rsidRPr="00E14189">
        <w:rPr>
          <w:rFonts w:ascii="Times" w:eastAsia="Times New Roman" w:hAnsi="Times" w:cs="Times New Roman"/>
          <w:i/>
          <w:iCs/>
          <w:sz w:val="20"/>
          <w:szCs w:val="20"/>
        </w:rPr>
        <w:t xml:space="preserve">Croydon </w:t>
      </w:r>
      <w:r w:rsidRPr="00E14189">
        <w:rPr>
          <w:rFonts w:ascii="Times" w:eastAsia="Times New Roman" w:hAnsi="Times" w:cs="Times New Roman"/>
          <w:sz w:val="20"/>
          <w:szCs w:val="20"/>
        </w:rPr>
        <w:t xml:space="preserve">was to </w:t>
      </w:r>
      <w:r w:rsidRPr="00E14189">
        <w:rPr>
          <w:rFonts w:ascii="Times" w:eastAsia="Times New Roman" w:hAnsi="Times" w:cs="Times New Roman"/>
          <w:i/>
          <w:iCs/>
          <w:sz w:val="20"/>
          <w:szCs w:val="20"/>
        </w:rPr>
        <w:t>R (A) v Croydon London Borough Council</w:t>
      </w:r>
      <w:r w:rsidRPr="00E14189">
        <w:rPr>
          <w:rFonts w:ascii="Times" w:eastAsia="Times New Roman" w:hAnsi="Times" w:cs="Times New Roman"/>
          <w:sz w:val="20"/>
          <w:szCs w:val="20"/>
        </w:rPr>
        <w:t xml:space="preserve"> </w:t>
      </w:r>
      <w:bookmarkEnd w:id="15"/>
      <w:r w:rsidRPr="00E14189">
        <w:rPr>
          <w:rFonts w:ascii="Times" w:eastAsia="Times New Roman" w:hAnsi="Times" w:cs="Times New Roman"/>
          <w:sz w:val="20"/>
          <w:szCs w:val="20"/>
        </w:rPr>
        <w:fldChar w:fldCharType="begin"/>
      </w:r>
      <w:r w:rsidRPr="00E14189">
        <w:rPr>
          <w:rFonts w:ascii="Times" w:eastAsia="Times New Roman" w:hAnsi="Times" w:cs="Times New Roman"/>
          <w:sz w:val="20"/>
          <w:szCs w:val="20"/>
        </w:rPr>
        <w:instrText xml:space="preserve"> HYPERLINK "http://www.bailii.org/uk/cases/UKSC/2009/8.html" \o "Link to BAILII version" </w:instrText>
      </w:r>
      <w:r w:rsidRPr="00E14189">
        <w:rPr>
          <w:rFonts w:ascii="Times" w:eastAsia="Times New Roman" w:hAnsi="Times" w:cs="Times New Roman"/>
          <w:sz w:val="20"/>
          <w:szCs w:val="20"/>
        </w:rPr>
      </w:r>
      <w:r w:rsidRPr="00E14189">
        <w:rPr>
          <w:rFonts w:ascii="Times" w:eastAsia="Times New Roman" w:hAnsi="Times" w:cs="Times New Roman"/>
          <w:sz w:val="20"/>
          <w:szCs w:val="20"/>
        </w:rPr>
        <w:fldChar w:fldCharType="separate"/>
      </w:r>
      <w:r w:rsidRPr="00E14189">
        <w:rPr>
          <w:rFonts w:ascii="Times" w:eastAsia="Times New Roman" w:hAnsi="Times" w:cs="Times New Roman"/>
          <w:color w:val="0000FF"/>
          <w:sz w:val="20"/>
          <w:szCs w:val="20"/>
          <w:u w:val="single"/>
        </w:rPr>
        <w:t>[2009] UKSC 8</w:t>
      </w:r>
      <w:r w:rsidRPr="00E14189">
        <w:rPr>
          <w:rFonts w:ascii="Times" w:eastAsia="Times New Roman" w:hAnsi="Times" w:cs="Times New Roman"/>
          <w:sz w:val="20"/>
          <w:szCs w:val="20"/>
        </w:rPr>
        <w:fldChar w:fldCharType="end"/>
      </w:r>
      <w:r w:rsidRPr="00E14189">
        <w:rPr>
          <w:rFonts w:ascii="Times" w:eastAsia="Times New Roman" w:hAnsi="Times" w:cs="Times New Roman"/>
          <w:sz w:val="20"/>
          <w:szCs w:val="20"/>
        </w:rPr>
        <w:t xml:space="preserve">, </w:t>
      </w:r>
      <w:hyperlink r:id="rId8" w:tooltip="Link to BAILII version" w:history="1">
        <w:r w:rsidRPr="00E14189">
          <w:rPr>
            <w:rFonts w:ascii="Times" w:eastAsia="Times New Roman" w:hAnsi="Times" w:cs="Times New Roman"/>
            <w:color w:val="0000FF"/>
            <w:sz w:val="20"/>
            <w:szCs w:val="20"/>
            <w:u w:val="single"/>
          </w:rPr>
          <w:t>[2009] 1 WLR 2557</w:t>
        </w:r>
      </w:hyperlink>
      <w:r w:rsidRPr="00E14189">
        <w:rPr>
          <w:rFonts w:ascii="Times" w:eastAsia="Times New Roman" w:hAnsi="Times" w:cs="Times New Roman"/>
          <w:sz w:val="20"/>
          <w:szCs w:val="20"/>
        </w:rPr>
        <w:t xml:space="preserve">. Sir Richard Buxton agreed with Blake J that it was not arguable that the Secretary of State had acted unreasonably in proceeding on the basis that the appellant was over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and he refused permission to apply for judicial review on that wider ground. A subsequent oral application by the appellant to widen the grounds of challenge was refused by Arden LJ. His substantive claim was dismissed by the full court for reasons given in a judgment by Arden LJ, with which Davis LJ and Baron J agreed: </w:t>
      </w:r>
      <w:hyperlink r:id="rId9" w:tooltip="Link to BAILII version" w:history="1">
        <w:r w:rsidRPr="00E14189">
          <w:rPr>
            <w:rFonts w:ascii="Times" w:eastAsia="Times New Roman" w:hAnsi="Times" w:cs="Times New Roman"/>
            <w:color w:val="0000FF"/>
            <w:sz w:val="20"/>
            <w:szCs w:val="20"/>
            <w:u w:val="single"/>
          </w:rPr>
          <w:t>[2012] EWCA Civ 1383</w:t>
        </w:r>
      </w:hyperlink>
      <w:r w:rsidRPr="00E14189">
        <w:rPr>
          <w:rFonts w:ascii="Times" w:eastAsia="Times New Roman" w:hAnsi="Times" w:cs="Times New Roman"/>
          <w:sz w:val="20"/>
          <w:szCs w:val="20"/>
        </w:rPr>
        <w:t xml:space="preserve">. </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i/>
          <w:iCs/>
          <w:sz w:val="20"/>
          <w:szCs w:val="20"/>
        </w:rPr>
        <w:t>Section 55 of the 2009 Act</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6" w:name="para16"/>
      <w:proofErr w:type="gramEnd"/>
      <w:r w:rsidRPr="00E14189">
        <w:rPr>
          <w:rFonts w:ascii="Times" w:eastAsia="Times New Roman" w:hAnsi="Times" w:cs="Times New Roman"/>
          <w:sz w:val="20"/>
          <w:szCs w:val="20"/>
        </w:rPr>
        <w:t xml:space="preserve">Section 55 provides: </w:t>
      </w:r>
      <w:bookmarkEnd w:id="16"/>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w:t>
      </w:r>
      <w:proofErr w:type="gramStart"/>
      <w:r w:rsidRPr="00E14189">
        <w:rPr>
          <w:rFonts w:ascii="Times" w:eastAsia="Times New Roman" w:hAnsi="Times" w:cs="Times New Roman"/>
          <w:sz w:val="20"/>
          <w:szCs w:val="20"/>
        </w:rPr>
        <w:t>(</w:t>
      </w:r>
      <w:proofErr w:type="gramEnd"/>
      <w:r w:rsidRPr="00E14189">
        <w:rPr>
          <w:rFonts w:ascii="Times" w:eastAsia="Times New Roman" w:hAnsi="Times" w:cs="Times New Roman"/>
          <w:sz w:val="20"/>
          <w:szCs w:val="20"/>
        </w:rPr>
        <w:t>1) The Secretary of State must make arrangements for ensuring that -</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(a</w:t>
      </w:r>
      <w:proofErr w:type="gramEnd"/>
      <w:r w:rsidRPr="00E14189">
        <w:rPr>
          <w:rFonts w:ascii="Times" w:eastAsia="Times New Roman" w:hAnsi="Times" w:cs="Times New Roman"/>
          <w:sz w:val="20"/>
          <w:szCs w:val="20"/>
        </w:rPr>
        <w:t>) the functions mentioned in subsection (2) are discharged having regard to the need to safeguard and promote the welfare of children who are in the United Kingdom, and</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(b</w:t>
      </w:r>
      <w:proofErr w:type="gramEnd"/>
      <w:r w:rsidRPr="00E14189">
        <w:rPr>
          <w:rFonts w:ascii="Times" w:eastAsia="Times New Roman" w:hAnsi="Times" w:cs="Times New Roman"/>
          <w:sz w:val="20"/>
          <w:szCs w:val="20"/>
        </w:rPr>
        <w:t>) any services provided by another person pursuant to arrangements which are made by the Secretary of State and relate to the discharge of a function mentioned in subsection (2) are provided having regard to that need.</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(2</w:t>
      </w:r>
      <w:proofErr w:type="gramEnd"/>
      <w:r w:rsidRPr="00E14189">
        <w:rPr>
          <w:rFonts w:ascii="Times" w:eastAsia="Times New Roman" w:hAnsi="Times" w:cs="Times New Roman"/>
          <w:sz w:val="20"/>
          <w:szCs w:val="20"/>
        </w:rPr>
        <w:t>) The functions referred to in subsection (1) are -</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(a</w:t>
      </w:r>
      <w:proofErr w:type="gramEnd"/>
      <w:r w:rsidRPr="00E14189">
        <w:rPr>
          <w:rFonts w:ascii="Times" w:eastAsia="Times New Roman" w:hAnsi="Times" w:cs="Times New Roman"/>
          <w:sz w:val="20"/>
          <w:szCs w:val="20"/>
        </w:rPr>
        <w:t>) any function of the Secretary of State in relation to immigration, asylum or nationality;</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b) any function conferred by or by virtue of the Immigration Acts on an immigration officer; …</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(3) A person exercising any of those functions must, in exercising the function, have regard to any guidance given to the person by the Secr</w:t>
      </w:r>
      <w:proofErr w:type="gramEnd"/>
      <w:r w:rsidRPr="00E14189">
        <w:rPr>
          <w:rFonts w:ascii="Times" w:eastAsia="Times New Roman" w:hAnsi="Times" w:cs="Times New Roman"/>
          <w:sz w:val="20"/>
          <w:szCs w:val="20"/>
        </w:rPr>
        <w:t>etary of State for the purpose of subsection (1).</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(6</w:t>
      </w:r>
      <w:proofErr w:type="gramEnd"/>
      <w:r w:rsidRPr="00E14189">
        <w:rPr>
          <w:rFonts w:ascii="Times" w:eastAsia="Times New Roman" w:hAnsi="Times" w:cs="Times New Roman"/>
          <w:sz w:val="20"/>
          <w:szCs w:val="20"/>
        </w:rPr>
        <w:t>) In this section</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'Children' means persons who are under the age of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7" w:name="para17"/>
      <w:proofErr w:type="gramEnd"/>
      <w:r w:rsidRPr="00E14189">
        <w:rPr>
          <w:rFonts w:ascii="Times" w:eastAsia="Times New Roman" w:hAnsi="Times" w:cs="Times New Roman"/>
          <w:sz w:val="20"/>
          <w:szCs w:val="20"/>
        </w:rPr>
        <w:t xml:space="preserve">Section 55 came into force on 2 November 2009. </w:t>
      </w:r>
      <w:proofErr w:type="gramStart"/>
      <w:r w:rsidRPr="00E14189">
        <w:rPr>
          <w:rFonts w:ascii="Times" w:eastAsia="Times New Roman" w:hAnsi="Times" w:cs="Times New Roman"/>
          <w:sz w:val="20"/>
          <w:szCs w:val="20"/>
        </w:rPr>
        <w:t>In the same month guidance was published by the Home Office, jointly with the Department for Children, Schools and Families, under the title</w:t>
      </w:r>
      <w:proofErr w:type="gramEnd"/>
      <w:r w:rsidRPr="00E14189">
        <w:rPr>
          <w:rFonts w:ascii="Times" w:eastAsia="Times New Roman" w:hAnsi="Times" w:cs="Times New Roman"/>
          <w:sz w:val="20"/>
          <w:szCs w:val="20"/>
        </w:rPr>
        <w:t xml:space="preserve"> "Every Child Matters". </w:t>
      </w:r>
      <w:proofErr w:type="gramStart"/>
      <w:r w:rsidRPr="00E14189">
        <w:rPr>
          <w:rFonts w:ascii="Times" w:eastAsia="Times New Roman" w:hAnsi="Times" w:cs="Times New Roman"/>
          <w:sz w:val="20"/>
          <w:szCs w:val="20"/>
        </w:rPr>
        <w:t>Its stated object was to set out the key arrangements for safeguarding and promoting the welfare of children, as they apply both generally t</w:t>
      </w:r>
      <w:proofErr w:type="gramEnd"/>
      <w:r w:rsidRPr="00E14189">
        <w:rPr>
          <w:rFonts w:ascii="Times" w:eastAsia="Times New Roman" w:hAnsi="Times" w:cs="Times New Roman"/>
          <w:sz w:val="20"/>
          <w:szCs w:val="20"/>
        </w:rPr>
        <w:t xml:space="preserve">o public bodies who deal with children and specifically to the UK Border Agency. </w:t>
      </w:r>
      <w:proofErr w:type="gramStart"/>
      <w:r w:rsidRPr="00E14189">
        <w:rPr>
          <w:rFonts w:ascii="Times" w:eastAsia="Times New Roman" w:hAnsi="Times" w:cs="Times New Roman"/>
          <w:sz w:val="20"/>
          <w:szCs w:val="20"/>
        </w:rPr>
        <w:t>Its language was the language of general principles rather than particular rules</w:t>
      </w:r>
      <w:proofErr w:type="gramEnd"/>
      <w:r w:rsidRPr="00E14189">
        <w:rPr>
          <w:rFonts w:ascii="Times" w:eastAsia="Times New Roman" w:hAnsi="Times" w:cs="Times New Roman"/>
          <w:sz w:val="20"/>
          <w:szCs w:val="20"/>
        </w:rPr>
        <w:t xml:space="preserve">. Among the general principles it stated: </w:t>
      </w:r>
      <w:bookmarkEnd w:id="17"/>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"2.6 The UK Border Agency acknowledges the status and importance of the following:</w:t>
      </w:r>
      <w:proofErr w:type="gramEnd"/>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The European Convention for the Protection of Human Rights and Fundamental Freedoms, the International Covenant </w:t>
      </w:r>
      <w:proofErr w:type="gramStart"/>
      <w:r w:rsidRPr="00E14189">
        <w:rPr>
          <w:rFonts w:ascii="Times" w:eastAsia="Times New Roman" w:hAnsi="Times" w:cs="Times New Roman"/>
          <w:sz w:val="20"/>
          <w:szCs w:val="20"/>
        </w:rPr>
        <w:t>on</w:t>
      </w:r>
      <w:proofErr w:type="gramEnd"/>
      <w:r w:rsidRPr="00E14189">
        <w:rPr>
          <w:rFonts w:ascii="Times" w:eastAsia="Times New Roman" w:hAnsi="Times" w:cs="Times New Roman"/>
          <w:sz w:val="20"/>
          <w:szCs w:val="20"/>
        </w:rPr>
        <w:t xml:space="preserve"> Civil and Political Rights, the International Covenant on Economic, Social and Cultural Rights, the EU Reception Conditions Directive, the Council of Europe Convention on Action Against Trafficking in Human Beings, and the UN Convention on the Rights of the Child. </w:t>
      </w:r>
      <w:proofErr w:type="gramStart"/>
      <w:r w:rsidRPr="00E14189">
        <w:rPr>
          <w:rFonts w:ascii="Times" w:eastAsia="Times New Roman" w:hAnsi="Times" w:cs="Times New Roman"/>
          <w:sz w:val="20"/>
          <w:szCs w:val="20"/>
        </w:rPr>
        <w:t xml:space="preserve">The UK Border Agency must fulfil the requirements of these instruments in relation to children whilst exercising its functions as expressed </w:t>
      </w:r>
      <w:proofErr w:type="gramEnd"/>
      <w:r w:rsidRPr="00E14189">
        <w:rPr>
          <w:rFonts w:ascii="Times" w:eastAsia="Times New Roman" w:hAnsi="Times" w:cs="Times New Roman"/>
          <w:sz w:val="20"/>
          <w:szCs w:val="20"/>
        </w:rPr>
        <w:t>in UK domestic legislation and policies.</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proofErr w:type="gramEnd"/>
      <w:r w:rsidRPr="00E14189">
        <w:rPr>
          <w:rFonts w:ascii="Times" w:eastAsia="Times New Roman" w:hAnsi="Times" w:cs="Times New Roman"/>
          <w:sz w:val="20"/>
          <w:szCs w:val="20"/>
        </w:rPr>
        <w:t>7 The UK Border Agency must also act according to the following principles:</w:t>
      </w:r>
      <w:bookmarkEnd w:id="2"/>
    </w:p>
    <w:p w:rsidR="00E14189" w:rsidRPr="00E14189" w:rsidRDefault="00E14189" w:rsidP="00E14189">
      <w:pPr>
        <w:numPr>
          <w:ilvl w:val="0"/>
          <w:numId w:val="1"/>
        </w:numPr>
        <w:spacing w:beforeAutospacing="1" w:afterAutospacing="1"/>
        <w:ind w:left="2880"/>
        <w:rPr>
          <w:rFonts w:ascii="Times" w:eastAsia="Times New Roman" w:hAnsi="Times" w:cs="Times New Roman"/>
          <w:sz w:val="20"/>
          <w:szCs w:val="20"/>
        </w:rPr>
      </w:pPr>
      <w:proofErr w:type="gramStart"/>
      <w:r w:rsidRPr="00E14189">
        <w:rPr>
          <w:rFonts w:ascii="Times" w:eastAsia="Times New Roman" w:hAnsi="Times" w:cs="Times New Roman"/>
          <w:sz w:val="20"/>
          <w:szCs w:val="20"/>
        </w:rPr>
        <w:t>Every child matters even if they are someone subject to immigration control</w:t>
      </w:r>
      <w:proofErr w:type="gramEnd"/>
      <w:r w:rsidRPr="00E14189">
        <w:rPr>
          <w:rFonts w:ascii="Times" w:eastAsia="Times New Roman" w:hAnsi="Times" w:cs="Times New Roman"/>
          <w:sz w:val="20"/>
          <w:szCs w:val="20"/>
        </w:rPr>
        <w:t xml:space="preserve">. </w:t>
      </w:r>
    </w:p>
    <w:p w:rsidR="00E14189" w:rsidRPr="00E14189" w:rsidRDefault="00E14189" w:rsidP="00E14189">
      <w:pPr>
        <w:numPr>
          <w:ilvl w:val="0"/>
          <w:numId w:val="2"/>
        </w:numPr>
        <w:spacing w:beforeAutospacing="1" w:afterAutospacing="1"/>
        <w:ind w:left="2880"/>
        <w:rPr>
          <w:rFonts w:ascii="Times" w:eastAsia="Times New Roman" w:hAnsi="Times" w:cs="Times New Roman"/>
          <w:sz w:val="20"/>
          <w:szCs w:val="20"/>
        </w:rPr>
      </w:pPr>
      <w:r w:rsidRPr="00E14189">
        <w:rPr>
          <w:rFonts w:ascii="Times" w:eastAsia="Times New Roman" w:hAnsi="Times" w:cs="Times New Roman"/>
          <w:sz w:val="20"/>
          <w:szCs w:val="20"/>
        </w:rPr>
        <w:t xml:space="preserve">In accordance with the UN Convention </w:t>
      </w:r>
      <w:proofErr w:type="gramStart"/>
      <w:r w:rsidRPr="00E14189">
        <w:rPr>
          <w:rFonts w:ascii="Times" w:eastAsia="Times New Roman" w:hAnsi="Times" w:cs="Times New Roman"/>
          <w:sz w:val="20"/>
          <w:szCs w:val="20"/>
        </w:rPr>
        <w:t>on</w:t>
      </w:r>
      <w:proofErr w:type="gramEnd"/>
      <w:r w:rsidRPr="00E14189">
        <w:rPr>
          <w:rFonts w:ascii="Times" w:eastAsia="Times New Roman" w:hAnsi="Times" w:cs="Times New Roman"/>
          <w:sz w:val="20"/>
          <w:szCs w:val="20"/>
        </w:rPr>
        <w:t xml:space="preserve"> the Rights of the Child the best interests of the child will be a primary consideration (although not necessarily the only consideration) when making decisions affecting children. </w:t>
      </w:r>
      <w:proofErr w:type="gramStart"/>
      <w:r w:rsidRPr="00E14189">
        <w:rPr>
          <w:rFonts w:ascii="Times" w:eastAsia="Times New Roman" w:hAnsi="Times" w:cs="Times New Roman"/>
          <w:sz w:val="20"/>
          <w:szCs w:val="20"/>
        </w:rPr>
        <w:t xml:space="preserve">…" </w:t>
      </w:r>
      <w:proofErr w:type="gramEnd"/>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8" w:name="para18"/>
      <w:proofErr w:type="gramEnd"/>
      <w:r w:rsidRPr="00E14189">
        <w:rPr>
          <w:rFonts w:ascii="Times" w:eastAsia="Times New Roman" w:hAnsi="Times" w:cs="Times New Roman"/>
          <w:sz w:val="20"/>
          <w:szCs w:val="20"/>
        </w:rPr>
        <w:t xml:space="preserve">The document recognised that the guidance contained in it could not cover every situation and that staff would need to use their judgment and refer to detailed operational guidance applicable to specific areas. </w:t>
      </w:r>
      <w:bookmarkEnd w:id="18"/>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19" w:name="para19"/>
      <w:proofErr w:type="gramEnd"/>
      <w:r w:rsidRPr="00E14189">
        <w:rPr>
          <w:rFonts w:ascii="Times" w:eastAsia="Times New Roman" w:hAnsi="Times" w:cs="Times New Roman"/>
          <w:sz w:val="20"/>
          <w:szCs w:val="20"/>
        </w:rPr>
        <w:t xml:space="preserve">Operational guidance on the use of detention powers is contained in Enforcement Instructions and Guidance ("EIG") published by the Secretary of State. Paragraph 55.9.3.1 states: </w:t>
      </w:r>
      <w:bookmarkEnd w:id="19"/>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"Sometimes people over the age of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claim to be children in order to prevent their detention or effect their release once detained. Information on the policy and procedures concerning persons whose ages have been disputed is available on the website </w:t>
      </w:r>
      <w:proofErr w:type="gramStart"/>
      <w:r w:rsidRPr="00E14189">
        <w:rPr>
          <w:rFonts w:ascii="Times" w:eastAsia="Times New Roman" w:hAnsi="Times" w:cs="Times New Roman"/>
          <w:sz w:val="20"/>
          <w:szCs w:val="20"/>
        </w:rPr>
        <w:t>at</w:t>
      </w:r>
      <w:proofErr w:type="gramEnd"/>
      <w:r w:rsidRPr="00E14189">
        <w:rPr>
          <w:rFonts w:ascii="Times" w:eastAsia="Times New Roman" w:hAnsi="Times" w:cs="Times New Roman"/>
          <w:sz w:val="20"/>
          <w:szCs w:val="20"/>
        </w:rPr>
        <w:t xml:space="preserve"> [reference omitted].</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UK Border Agency will accept an individual as under 18 (including those who have previously claimed to be an adult) unless one or more of </w:t>
      </w:r>
      <w:proofErr w:type="gramStart"/>
      <w:r w:rsidRPr="00E14189">
        <w:rPr>
          <w:rFonts w:ascii="Times" w:eastAsia="Times New Roman" w:hAnsi="Times" w:cs="Times New Roman"/>
          <w:sz w:val="20"/>
          <w:szCs w:val="20"/>
        </w:rPr>
        <w:t>the following criteria apply</w:t>
      </w:r>
      <w:proofErr w:type="gramEnd"/>
      <w:r w:rsidRPr="00E14189">
        <w:rPr>
          <w:rFonts w:ascii="Times" w:eastAsia="Times New Roman" w:hAnsi="Times" w:cs="Times New Roman"/>
          <w:sz w:val="20"/>
          <w:szCs w:val="20"/>
        </w:rPr>
        <w:t>:</w:t>
      </w:r>
    </w:p>
    <w:p w:rsidR="00E14189" w:rsidRPr="00E14189" w:rsidRDefault="00E14189" w:rsidP="00E14189">
      <w:pPr>
        <w:numPr>
          <w:ilvl w:val="0"/>
          <w:numId w:val="3"/>
        </w:numPr>
        <w:spacing w:beforeAutospacing="1" w:afterAutospacing="1"/>
        <w:ind w:left="2880"/>
        <w:rPr>
          <w:rFonts w:ascii="Times" w:eastAsia="Times New Roman" w:hAnsi="Times" w:cs="Times New Roman"/>
          <w:sz w:val="20"/>
          <w:szCs w:val="20"/>
        </w:rPr>
      </w:pPr>
      <w:proofErr w:type="gramStart"/>
      <w:r w:rsidRPr="00E14189">
        <w:rPr>
          <w:rFonts w:ascii="Times" w:eastAsia="Times New Roman" w:hAnsi="Times" w:cs="Times New Roman"/>
          <w:sz w:val="20"/>
          <w:szCs w:val="20"/>
        </w:rPr>
        <w:t>there</w:t>
      </w:r>
      <w:proofErr w:type="gramEnd"/>
      <w:r w:rsidRPr="00E14189">
        <w:rPr>
          <w:rFonts w:ascii="Times" w:eastAsia="Times New Roman" w:hAnsi="Times" w:cs="Times New Roman"/>
          <w:sz w:val="20"/>
          <w:szCs w:val="20"/>
        </w:rPr>
        <w:t xml:space="preserve"> is credible and clear documentary evidence that they are 18 years of age or over; </w:t>
      </w:r>
    </w:p>
    <w:p w:rsidR="00E14189" w:rsidRPr="00E14189" w:rsidRDefault="00E14189" w:rsidP="00E14189">
      <w:pPr>
        <w:numPr>
          <w:ilvl w:val="0"/>
          <w:numId w:val="4"/>
        </w:numPr>
        <w:spacing w:beforeAutospacing="1" w:afterAutospacing="1"/>
        <w:ind w:left="2880"/>
        <w:rPr>
          <w:rFonts w:ascii="Times" w:eastAsia="Times New Roman" w:hAnsi="Times" w:cs="Times New Roman"/>
          <w:sz w:val="20"/>
          <w:szCs w:val="20"/>
        </w:rPr>
      </w:pPr>
      <w:proofErr w:type="gramStart"/>
      <w:r w:rsidRPr="00E14189">
        <w:rPr>
          <w:rFonts w:ascii="Times" w:eastAsia="Times New Roman" w:hAnsi="Times" w:cs="Times New Roman"/>
          <w:sz w:val="20"/>
          <w:szCs w:val="20"/>
        </w:rPr>
        <w:t>a</w:t>
      </w:r>
      <w:proofErr w:type="gramEnd"/>
      <w:r w:rsidRPr="00E14189">
        <w:rPr>
          <w:rFonts w:ascii="Times" w:eastAsia="Times New Roman" w:hAnsi="Times" w:cs="Times New Roman"/>
          <w:sz w:val="20"/>
          <w:szCs w:val="20"/>
        </w:rPr>
        <w:t xml:space="preserve"> full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-compliant' age assessment by social services is available stating that they are 18 years of age or over. (Note that assessments completed by social services emergency duty teams are not acceptable evidence of age); </w:t>
      </w:r>
    </w:p>
    <w:p w:rsidR="00E14189" w:rsidRPr="00E14189" w:rsidRDefault="00E14189" w:rsidP="00E14189">
      <w:pPr>
        <w:numPr>
          <w:ilvl w:val="0"/>
          <w:numId w:val="5"/>
        </w:numPr>
        <w:spacing w:beforeAutospacing="1" w:afterAutospacing="1"/>
        <w:ind w:left="2880"/>
        <w:rPr>
          <w:rFonts w:ascii="Times" w:eastAsia="Times New Roman" w:hAnsi="Times" w:cs="Times New Roman"/>
          <w:sz w:val="20"/>
          <w:szCs w:val="20"/>
        </w:rPr>
      </w:pPr>
      <w:r w:rsidRPr="00E14189">
        <w:rPr>
          <w:rFonts w:ascii="Times" w:eastAsia="Times New Roman" w:hAnsi="Times" w:cs="Times New Roman"/>
          <w:sz w:val="20"/>
          <w:szCs w:val="20"/>
        </w:rPr>
        <w:t xml:space="preserve">their physical appearance/demeanour </w:t>
      </w:r>
      <w:r w:rsidRPr="00E14189">
        <w:rPr>
          <w:rFonts w:ascii="Times" w:eastAsia="Times New Roman" w:hAnsi="Times" w:cs="Times New Roman"/>
          <w:b/>
          <w:bCs/>
          <w:sz w:val="20"/>
          <w:szCs w:val="20"/>
        </w:rPr>
        <w:t xml:space="preserve">very </w:t>
      </w:r>
      <w:r w:rsidRPr="00E14189">
        <w:rPr>
          <w:rFonts w:ascii="Times" w:eastAsia="Times New Roman" w:hAnsi="Times" w:cs="Times New Roman"/>
          <w:sz w:val="20"/>
          <w:szCs w:val="20"/>
        </w:rPr>
        <w:t xml:space="preserve">strongly indicates that they are </w:t>
      </w:r>
      <w:r w:rsidRPr="00E14189">
        <w:rPr>
          <w:rFonts w:ascii="Times" w:eastAsia="Times New Roman" w:hAnsi="Times" w:cs="Times New Roman"/>
          <w:b/>
          <w:bCs/>
          <w:sz w:val="20"/>
          <w:szCs w:val="20"/>
        </w:rPr>
        <w:t xml:space="preserve">significantly </w:t>
      </w:r>
      <w:r w:rsidRPr="00E14189">
        <w:rPr>
          <w:rFonts w:ascii="Times" w:eastAsia="Times New Roman" w:hAnsi="Times" w:cs="Times New Roman"/>
          <w:sz w:val="20"/>
          <w:szCs w:val="20"/>
        </w:rPr>
        <w:t xml:space="preserve">over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years of age and no other credible evidence exists to the contrary. </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It is UK Border Agency policy not to detain children other than in the most exceptional circumstances</w:t>
      </w:r>
      <w:proofErr w:type="gramEnd"/>
      <w:r w:rsidRPr="00E14189">
        <w:rPr>
          <w:rFonts w:ascii="Times" w:eastAsia="Times New Roman" w:hAnsi="Times" w:cs="Times New Roman"/>
          <w:sz w:val="20"/>
          <w:szCs w:val="20"/>
        </w:rPr>
        <w:t xml:space="preserve">. </w:t>
      </w:r>
      <w:proofErr w:type="gramStart"/>
      <w:r w:rsidRPr="00E14189">
        <w:rPr>
          <w:rFonts w:ascii="Times" w:eastAsia="Times New Roman" w:hAnsi="Times" w:cs="Times New Roman"/>
          <w:sz w:val="20"/>
          <w:szCs w:val="20"/>
        </w:rPr>
        <w:t>…"</w:t>
      </w:r>
      <w:proofErr w:type="gramEnd"/>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0" w:name="para20"/>
      <w:proofErr w:type="gramEnd"/>
      <w:r w:rsidRPr="00E14189">
        <w:rPr>
          <w:rFonts w:ascii="Times" w:eastAsia="Times New Roman" w:hAnsi="Times" w:cs="Times New Roman"/>
          <w:sz w:val="20"/>
          <w:szCs w:val="20"/>
        </w:rPr>
        <w:t xml:space="preserve">More detailed directions and guidance on assessing age are given in a departmental document entitled "Assessing Age" (June 2011). This sets out </w:t>
      </w:r>
      <w:proofErr w:type="gramStart"/>
      <w:r w:rsidRPr="00E14189">
        <w:rPr>
          <w:rFonts w:ascii="Times" w:eastAsia="Times New Roman" w:hAnsi="Times" w:cs="Times New Roman"/>
          <w:sz w:val="20"/>
          <w:szCs w:val="20"/>
        </w:rPr>
        <w:t>the policy</w:t>
      </w:r>
      <w:proofErr w:type="gramEnd"/>
      <w:r w:rsidRPr="00E14189">
        <w:rPr>
          <w:rFonts w:ascii="Times" w:eastAsia="Times New Roman" w:hAnsi="Times" w:cs="Times New Roman"/>
          <w:sz w:val="20"/>
          <w:szCs w:val="20"/>
        </w:rPr>
        <w:t xml:space="preserve"> and procedures to be followed when an applicant for asylum claims to be a child, with little or no supporting evidence, and the claim is doubted by the Border Agency. </w:t>
      </w:r>
      <w:bookmarkEnd w:id="20"/>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1" w:name="para21"/>
      <w:proofErr w:type="gramEnd"/>
      <w:r w:rsidRPr="00E14189">
        <w:rPr>
          <w:rFonts w:ascii="Times" w:eastAsia="Times New Roman" w:hAnsi="Times" w:cs="Times New Roman"/>
          <w:sz w:val="20"/>
          <w:szCs w:val="20"/>
        </w:rPr>
        <w:t xml:space="preserve">The document emphasises the need to consider all the evidence, since no single assessment technique or combination of techniques is likely to determine the applicant's age with precision. It states that </w:t>
      </w:r>
      <w:proofErr w:type="gramStart"/>
      <w:r w:rsidRPr="00E14189">
        <w:rPr>
          <w:rFonts w:ascii="Times" w:eastAsia="Times New Roman" w:hAnsi="Times" w:cs="Times New Roman"/>
          <w:sz w:val="20"/>
          <w:szCs w:val="20"/>
        </w:rPr>
        <w:t>at</w:t>
      </w:r>
      <w:proofErr w:type="gramEnd"/>
      <w:r w:rsidRPr="00E14189">
        <w:rPr>
          <w:rFonts w:ascii="Times" w:eastAsia="Times New Roman" w:hAnsi="Times" w:cs="Times New Roman"/>
          <w:sz w:val="20"/>
          <w:szCs w:val="20"/>
        </w:rPr>
        <w:t xml:space="preserve"> the stage of the initial age assessment, if there is little evidence to support the applicant's claimed age and if their physical appearance/demeanour very strongly suggests that they are significantly over 18, they are to be treated at that stage as an adult, but the decision must be reviewed if there is relevant new evidence. </w:t>
      </w:r>
      <w:proofErr w:type="gramStart"/>
      <w:r w:rsidRPr="00E14189">
        <w:rPr>
          <w:rFonts w:ascii="Times" w:eastAsia="Times New Roman" w:hAnsi="Times" w:cs="Times New Roman"/>
          <w:sz w:val="20"/>
          <w:szCs w:val="20"/>
        </w:rPr>
        <w:t>All other applicants are to be treated as children until a careful assessment of their age has been completed</w:t>
      </w:r>
      <w:proofErr w:type="gramEnd"/>
      <w:r w:rsidRPr="00E14189">
        <w:rPr>
          <w:rFonts w:ascii="Times" w:eastAsia="Times New Roman" w:hAnsi="Times" w:cs="Times New Roman"/>
          <w:sz w:val="20"/>
          <w:szCs w:val="20"/>
        </w:rPr>
        <w:t xml:space="preserve">. </w:t>
      </w:r>
      <w:bookmarkEnd w:id="21"/>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2" w:name="para22"/>
      <w:proofErr w:type="gramEnd"/>
      <w:r w:rsidRPr="00E14189">
        <w:rPr>
          <w:rFonts w:ascii="Times" w:eastAsia="Times New Roman" w:hAnsi="Times" w:cs="Times New Roman"/>
          <w:sz w:val="20"/>
          <w:szCs w:val="20"/>
        </w:rPr>
        <w:t xml:space="preserve">The document contains particular guidance on the use of local authority age assessments. </w:t>
      </w:r>
      <w:proofErr w:type="gramStart"/>
      <w:r w:rsidRPr="00E14189">
        <w:rPr>
          <w:rFonts w:ascii="Times" w:eastAsia="Times New Roman" w:hAnsi="Times" w:cs="Times New Roman"/>
          <w:sz w:val="20"/>
          <w:szCs w:val="20"/>
        </w:rPr>
        <w:t>It explains that local authorities will often have a duty to provide accommodation and support to an unaccompanied asylum seeking child unde</w:t>
      </w:r>
      <w:proofErr w:type="gramEnd"/>
      <w:r w:rsidRPr="00E14189">
        <w:rPr>
          <w:rFonts w:ascii="Times" w:eastAsia="Times New Roman" w:hAnsi="Times" w:cs="Times New Roman"/>
          <w:sz w:val="20"/>
          <w:szCs w:val="20"/>
        </w:rPr>
        <w:t xml:space="preserve">r provisions of the Children Act 1989. As part of its duties, the local </w:t>
      </w:r>
      <w:proofErr w:type="gramStart"/>
      <w:r w:rsidRPr="00E14189">
        <w:rPr>
          <w:rFonts w:ascii="Times" w:eastAsia="Times New Roman" w:hAnsi="Times" w:cs="Times New Roman"/>
          <w:sz w:val="20"/>
          <w:szCs w:val="20"/>
        </w:rPr>
        <w:t>authority</w:t>
      </w:r>
      <w:proofErr w:type="gramEnd"/>
      <w:r w:rsidRPr="00E14189">
        <w:rPr>
          <w:rFonts w:ascii="Times" w:eastAsia="Times New Roman" w:hAnsi="Times" w:cs="Times New Roman"/>
          <w:sz w:val="20"/>
          <w:szCs w:val="20"/>
        </w:rPr>
        <w:t xml:space="preserve"> will normally conduct an assessment of the applicant's age in order to determine eligibility for children's services. The document summarises </w:t>
      </w:r>
      <w:proofErr w:type="gramStart"/>
      <w:r w:rsidRPr="00E14189">
        <w:rPr>
          <w:rFonts w:ascii="Times" w:eastAsia="Times New Roman" w:hAnsi="Times" w:cs="Times New Roman"/>
          <w:sz w:val="20"/>
          <w:szCs w:val="20"/>
        </w:rPr>
        <w:t>the</w:t>
      </w:r>
      <w:proofErr w:type="gramEnd"/>
      <w:r w:rsidRPr="00E14189">
        <w:rPr>
          <w:rFonts w:ascii="Times" w:eastAsia="Times New Roman" w:hAnsi="Times" w:cs="Times New Roman"/>
          <w:sz w:val="20"/>
          <w:szCs w:val="20"/>
        </w:rPr>
        <w:t xml:space="preserve">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 guidelines and states: </w:t>
      </w:r>
      <w:bookmarkEnd w:id="22"/>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"5.2 Case owners should give considerable weight to the findings </w:t>
      </w:r>
      <w:proofErr w:type="gramStart"/>
      <w:r w:rsidRPr="00E14189">
        <w:rPr>
          <w:rFonts w:ascii="Times" w:eastAsia="Times New Roman" w:hAnsi="Times" w:cs="Times New Roman"/>
          <w:sz w:val="20"/>
          <w:szCs w:val="20"/>
        </w:rPr>
        <w:t>of</w:t>
      </w:r>
      <w:proofErr w:type="gramEnd"/>
      <w:r w:rsidRPr="00E14189">
        <w:rPr>
          <w:rFonts w:ascii="Times" w:eastAsia="Times New Roman" w:hAnsi="Times" w:cs="Times New Roman"/>
          <w:sz w:val="20"/>
          <w:szCs w:val="20"/>
        </w:rPr>
        <w:t xml:space="preserve"> age made by local authorities, recognising the particular expertise they have through working with children. </w:t>
      </w:r>
      <w:proofErr w:type="gramStart"/>
      <w:r w:rsidRPr="00E14189">
        <w:rPr>
          <w:rFonts w:ascii="Times" w:eastAsia="Times New Roman" w:hAnsi="Times" w:cs="Times New Roman"/>
          <w:sz w:val="20"/>
          <w:szCs w:val="20"/>
        </w:rPr>
        <w:t>In cases where the local authority's assessment is the only source of information about the applicant's age – their assessment will normally</w:t>
      </w:r>
      <w:proofErr w:type="gramEnd"/>
      <w:r w:rsidRPr="00E14189">
        <w:rPr>
          <w:rFonts w:ascii="Times" w:eastAsia="Times New Roman" w:hAnsi="Times" w:cs="Times New Roman"/>
          <w:sz w:val="20"/>
          <w:szCs w:val="20"/>
        </w:rPr>
        <w:t xml:space="preserve"> be accepted as decisive evidence.</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Nevertheless, case owners should carefully consider the findings of the local </w:t>
      </w:r>
      <w:proofErr w:type="gramStart"/>
      <w:r w:rsidRPr="00E14189">
        <w:rPr>
          <w:rFonts w:ascii="Times" w:eastAsia="Times New Roman" w:hAnsi="Times" w:cs="Times New Roman"/>
          <w:sz w:val="20"/>
          <w:szCs w:val="20"/>
        </w:rPr>
        <w:t>authority</w:t>
      </w:r>
      <w:proofErr w:type="gramEnd"/>
      <w:r w:rsidRPr="00E14189">
        <w:rPr>
          <w:rFonts w:ascii="Times" w:eastAsia="Times New Roman" w:hAnsi="Times" w:cs="Times New Roman"/>
          <w:sz w:val="20"/>
          <w:szCs w:val="20"/>
        </w:rPr>
        <w:t xml:space="preserve"> and discuss the matter with them in appropriate circumstances, such as where the findings are unclear; or do not seem to be supported by evidence; or it appears that the case is finely balanced and the applicant has not been given the benefit of the doubt; or that it appears the general principles set out in the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 judgment were not adhered to."</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3" w:name="para23"/>
      <w:proofErr w:type="gramEnd"/>
      <w:r w:rsidRPr="00E14189">
        <w:rPr>
          <w:rFonts w:ascii="Times" w:eastAsia="Times New Roman" w:hAnsi="Times" w:cs="Times New Roman"/>
          <w:sz w:val="20"/>
          <w:szCs w:val="20"/>
        </w:rPr>
        <w:t xml:space="preserve">Where there is new evidence after an initial assessment, the document states: </w:t>
      </w:r>
      <w:bookmarkEnd w:id="23"/>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"8.2 Case owners will normally need to review a decision on age if they later receive relevant new evidence (including in the grounds of an </w:t>
      </w:r>
      <w:proofErr w:type="gramStart"/>
      <w:r w:rsidRPr="00E14189">
        <w:rPr>
          <w:rFonts w:ascii="Times" w:eastAsia="Times New Roman" w:hAnsi="Times" w:cs="Times New Roman"/>
          <w:sz w:val="20"/>
          <w:szCs w:val="20"/>
        </w:rPr>
        <w:t>appeal</w:t>
      </w:r>
      <w:proofErr w:type="gramEnd"/>
      <w:r w:rsidRPr="00E14189">
        <w:rPr>
          <w:rFonts w:ascii="Times" w:eastAsia="Times New Roman" w:hAnsi="Times" w:cs="Times New Roman"/>
          <w:sz w:val="20"/>
          <w:szCs w:val="20"/>
        </w:rPr>
        <w:t xml:space="preserve">). Where the original decision on the applicant's age was based on a local </w:t>
      </w:r>
      <w:proofErr w:type="gramStart"/>
      <w:r w:rsidRPr="00E14189">
        <w:rPr>
          <w:rFonts w:ascii="Times" w:eastAsia="Times New Roman" w:hAnsi="Times" w:cs="Times New Roman"/>
          <w:sz w:val="20"/>
          <w:szCs w:val="20"/>
        </w:rPr>
        <w:t>authority</w:t>
      </w:r>
      <w:proofErr w:type="gramEnd"/>
      <w:r w:rsidRPr="00E14189">
        <w:rPr>
          <w:rFonts w:ascii="Times" w:eastAsia="Times New Roman" w:hAnsi="Times" w:cs="Times New Roman"/>
          <w:sz w:val="20"/>
          <w:szCs w:val="20"/>
        </w:rPr>
        <w:t xml:space="preserve"> assessment, the local authority should normally be made aware of the new evidence and be invited to review their earlier decision. </w:t>
      </w:r>
      <w:proofErr w:type="gramStart"/>
      <w:r w:rsidRPr="00E14189">
        <w:rPr>
          <w:rFonts w:ascii="Times" w:eastAsia="Times New Roman" w:hAnsi="Times" w:cs="Times New Roman"/>
          <w:sz w:val="20"/>
          <w:szCs w:val="20"/>
        </w:rPr>
        <w:t>The local authority's view should be considered by the case owner before they reconsider the decision on age.</w:t>
      </w:r>
      <w:proofErr w:type="gramEnd"/>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If </w:t>
      </w:r>
      <w:proofErr w:type="gramStart"/>
      <w:r w:rsidRPr="00E14189">
        <w:rPr>
          <w:rFonts w:ascii="Times" w:eastAsia="Times New Roman" w:hAnsi="Times" w:cs="Times New Roman"/>
          <w:sz w:val="20"/>
          <w:szCs w:val="20"/>
        </w:rPr>
        <w:t>appropriate</w:t>
      </w:r>
      <w:proofErr w:type="gramEnd"/>
      <w:r w:rsidRPr="00E14189">
        <w:rPr>
          <w:rFonts w:ascii="Times" w:eastAsia="Times New Roman" w:hAnsi="Times" w:cs="Times New Roman"/>
          <w:sz w:val="20"/>
          <w:szCs w:val="20"/>
        </w:rPr>
        <w:t>, the original decision should be administratively withdrawn, and a fresh decision issued to the applicant's legal representative or, if the applicant is not represented, to the applicant."</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4" w:name="para24"/>
      <w:proofErr w:type="gramEnd"/>
      <w:r w:rsidRPr="00E14189">
        <w:rPr>
          <w:rFonts w:ascii="Times" w:eastAsia="Times New Roman" w:hAnsi="Times" w:cs="Times New Roman"/>
          <w:sz w:val="20"/>
          <w:szCs w:val="20"/>
        </w:rPr>
        <w:t xml:space="preserve">Under the heading "Section 55 duty and the assessing age policy", the document sets out the department's reasons for believing that the policy complies with the requirements of the statute: </w:t>
      </w:r>
      <w:bookmarkEnd w:id="24"/>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"2.2.1 The assessing age policy has in-built safeguards to ensure it is compliant with the new duty, for example, applicants whose age has not been accepted by the Agency, will initially be afforded the benefit of the doubt and treated as children unless their physical appearance/demeanour very strongly suggests they are </w:t>
      </w:r>
      <w:r w:rsidRPr="00E14189">
        <w:rPr>
          <w:rFonts w:ascii="Times" w:eastAsia="Times New Roman" w:hAnsi="Times" w:cs="Times New Roman"/>
          <w:sz w:val="20"/>
          <w:szCs w:val="20"/>
          <w:u w:val="single"/>
        </w:rPr>
        <w:t>significantly</w:t>
      </w:r>
      <w:r w:rsidRPr="00E14189">
        <w:rPr>
          <w:rFonts w:ascii="Times" w:eastAsia="Times New Roman" w:hAnsi="Times" w:cs="Times New Roman"/>
          <w:sz w:val="20"/>
          <w:szCs w:val="20"/>
        </w:rPr>
        <w:t xml:space="preserve"> over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It is </w:t>
      </w:r>
      <w:proofErr w:type="gramStart"/>
      <w:r w:rsidRPr="00E14189">
        <w:rPr>
          <w:rFonts w:ascii="Times" w:eastAsia="Times New Roman" w:hAnsi="Times" w:cs="Times New Roman"/>
          <w:sz w:val="20"/>
          <w:szCs w:val="20"/>
        </w:rPr>
        <w:t>appropriate</w:t>
      </w:r>
      <w:proofErr w:type="gramEnd"/>
      <w:r w:rsidRPr="00E14189">
        <w:rPr>
          <w:rFonts w:ascii="Times" w:eastAsia="Times New Roman" w:hAnsi="Times" w:cs="Times New Roman"/>
          <w:sz w:val="20"/>
          <w:szCs w:val="20"/>
        </w:rPr>
        <w:t xml:space="preserve"> to give these applicants the benefit of the doubt until a further assessment of their age has been made, because it ensures that such applicants are not exposed to risks which might compromise their safety or welfare in the meantime. </w:t>
      </w:r>
      <w:proofErr w:type="gramStart"/>
      <w:r w:rsidRPr="00E14189">
        <w:rPr>
          <w:rFonts w:ascii="Times" w:eastAsia="Times New Roman" w:hAnsi="Times" w:cs="Times New Roman"/>
          <w:sz w:val="20"/>
          <w:szCs w:val="20"/>
        </w:rPr>
        <w:t>In particular, they will be provided with a responsible adult for the substantive interview, and will not be accommodated with adults</w:t>
      </w:r>
      <w:proofErr w:type="gramEnd"/>
      <w:r w:rsidRPr="00E14189">
        <w:rPr>
          <w:rFonts w:ascii="Times" w:eastAsia="Times New Roman" w:hAnsi="Times" w:cs="Times New Roman"/>
          <w:sz w:val="20"/>
          <w:szCs w:val="20"/>
        </w:rPr>
        <w:t xml:space="preserve">. This is a safeguard to allow for the possibility that these applicants may </w:t>
      </w:r>
      <w:proofErr w:type="gramStart"/>
      <w:r w:rsidRPr="00E14189">
        <w:rPr>
          <w:rFonts w:ascii="Times" w:eastAsia="Times New Roman" w:hAnsi="Times" w:cs="Times New Roman"/>
          <w:sz w:val="20"/>
          <w:szCs w:val="20"/>
        </w:rPr>
        <w:t>produce</w:t>
      </w:r>
      <w:proofErr w:type="gramEnd"/>
      <w:r w:rsidRPr="00E14189">
        <w:rPr>
          <w:rFonts w:ascii="Times" w:eastAsia="Times New Roman" w:hAnsi="Times" w:cs="Times New Roman"/>
          <w:sz w:val="20"/>
          <w:szCs w:val="20"/>
        </w:rPr>
        <w:t xml:space="preserve"> evidence showing that they are a child or a local authority age assessment, according to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 guidelines, later assesses them to be a child.</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The policy applied</w:t>
      </w:r>
      <w:proofErr w:type="gramEnd"/>
      <w:r w:rsidRPr="00E14189">
        <w:rPr>
          <w:rFonts w:ascii="Times" w:eastAsia="Times New Roman" w:hAnsi="Times" w:cs="Times New Roman"/>
          <w:sz w:val="20"/>
          <w:szCs w:val="20"/>
        </w:rPr>
        <w:t xml:space="preserve"> to applicants whose physical appearance/demeanour very strongly suggests that they are </w:t>
      </w:r>
      <w:r w:rsidRPr="00E14189">
        <w:rPr>
          <w:rFonts w:ascii="Times" w:eastAsia="Times New Roman" w:hAnsi="Times" w:cs="Times New Roman"/>
          <w:sz w:val="20"/>
          <w:szCs w:val="20"/>
          <w:u w:val="single"/>
        </w:rPr>
        <w:t>significantly</w:t>
      </w:r>
      <w:r w:rsidRPr="00E14189">
        <w:rPr>
          <w:rFonts w:ascii="Times" w:eastAsia="Times New Roman" w:hAnsi="Times" w:cs="Times New Roman"/>
          <w:sz w:val="20"/>
          <w:szCs w:val="20"/>
        </w:rPr>
        <w:t xml:space="preserve"> over 18 is consistent with the new duty because the Agency has had regard to the need to safeguard and promote the welfare of children when making the initial age assessment. </w:t>
      </w:r>
      <w:proofErr w:type="gramStart"/>
      <w:r w:rsidRPr="00E14189">
        <w:rPr>
          <w:rFonts w:ascii="Times" w:eastAsia="Times New Roman" w:hAnsi="Times" w:cs="Times New Roman"/>
          <w:sz w:val="20"/>
          <w:szCs w:val="20"/>
        </w:rPr>
        <w:t>Having given the applicant the benefit of the doubt, they have found them to be an adult</w:t>
      </w:r>
      <w:proofErr w:type="gramEnd"/>
      <w:r w:rsidRPr="00E14189">
        <w:rPr>
          <w:rFonts w:ascii="Times" w:eastAsia="Times New Roman" w:hAnsi="Times" w:cs="Times New Roman"/>
          <w:sz w:val="20"/>
          <w:szCs w:val="20"/>
        </w:rPr>
        <w:t xml:space="preserve">. The duty does not compel the Agency </w:t>
      </w:r>
      <w:proofErr w:type="gramStart"/>
      <w:r w:rsidRPr="00E14189">
        <w:rPr>
          <w:rFonts w:ascii="Times" w:eastAsia="Times New Roman" w:hAnsi="Times" w:cs="Times New Roman"/>
          <w:sz w:val="20"/>
          <w:szCs w:val="20"/>
        </w:rPr>
        <w:t>to</w:t>
      </w:r>
      <w:proofErr w:type="gramEnd"/>
      <w:r w:rsidRPr="00E14189">
        <w:rPr>
          <w:rFonts w:ascii="Times" w:eastAsia="Times New Roman" w:hAnsi="Times" w:cs="Times New Roman"/>
          <w:sz w:val="20"/>
          <w:szCs w:val="20"/>
        </w:rPr>
        <w:t xml:space="preserve"> treat these applicants as children. Thus, the same safeguards are not necessary.</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Furthermore, the Agency's policy to rely </w:t>
      </w:r>
      <w:proofErr w:type="gramStart"/>
      <w:r w:rsidRPr="00E14189">
        <w:rPr>
          <w:rFonts w:ascii="Times" w:eastAsia="Times New Roman" w:hAnsi="Times" w:cs="Times New Roman"/>
          <w:sz w:val="20"/>
          <w:szCs w:val="20"/>
        </w:rPr>
        <w:t>on</w:t>
      </w:r>
      <w:proofErr w:type="gramEnd"/>
      <w:r w:rsidRPr="00E14189">
        <w:rPr>
          <w:rFonts w:ascii="Times" w:eastAsia="Times New Roman" w:hAnsi="Times" w:cs="Times New Roman"/>
          <w:sz w:val="20"/>
          <w:szCs w:val="20"/>
        </w:rPr>
        <w:t xml:space="preserve">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-compliant age assessments when making a decision on an applicant's disputed age, is consistent with the section 55 duty because the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 guidelines ensure that proper safeguards and standards of enquiry and fairness are adhered to. Local authorities who are bound by section </w:t>
      </w:r>
      <w:proofErr w:type="gramStart"/>
      <w:r w:rsidRPr="00E14189">
        <w:rPr>
          <w:rFonts w:ascii="Times" w:eastAsia="Times New Roman" w:hAnsi="Times" w:cs="Times New Roman"/>
          <w:sz w:val="20"/>
          <w:szCs w:val="20"/>
        </w:rPr>
        <w:t>11</w:t>
      </w:r>
      <w:proofErr w:type="gramEnd"/>
      <w:r w:rsidRPr="00E14189">
        <w:rPr>
          <w:rFonts w:ascii="Times" w:eastAsia="Times New Roman" w:hAnsi="Times" w:cs="Times New Roman"/>
          <w:sz w:val="20"/>
          <w:szCs w:val="20"/>
        </w:rPr>
        <w:t xml:space="preserve"> of the Children Act 1989 (upon which the section 55 duty is based) also rely on their own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-compliant age assessments unless and until they receive further evidence indicating that the applicant is a child."</w:t>
      </w:r>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i/>
          <w:iCs/>
          <w:sz w:val="20"/>
          <w:szCs w:val="20"/>
        </w:rPr>
        <w:t>R (A) v Croydon London Borough Council</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5" w:name="para25"/>
      <w:proofErr w:type="gramEnd"/>
      <w:r w:rsidRPr="00E14189">
        <w:rPr>
          <w:rFonts w:ascii="Times" w:eastAsia="Times New Roman" w:hAnsi="Times" w:cs="Times New Roman"/>
          <w:sz w:val="20"/>
          <w:szCs w:val="20"/>
        </w:rPr>
        <w:t xml:space="preserve">As already mentioned, Sir Richard Buxton's reason for giving the appellant permission to apply for judicial review was so that the question could be argued whether the approach of the Supreme Court to the assessment of age in </w:t>
      </w:r>
      <w:r w:rsidRPr="00E14189">
        <w:rPr>
          <w:rFonts w:ascii="Times" w:eastAsia="Times New Roman" w:hAnsi="Times" w:cs="Times New Roman"/>
          <w:i/>
          <w:iCs/>
          <w:sz w:val="20"/>
          <w:szCs w:val="20"/>
        </w:rPr>
        <w:t>Croydon</w:t>
      </w:r>
      <w:r w:rsidRPr="00E14189">
        <w:rPr>
          <w:rFonts w:ascii="Times" w:eastAsia="Times New Roman" w:hAnsi="Times" w:cs="Times New Roman"/>
          <w:sz w:val="20"/>
          <w:szCs w:val="20"/>
        </w:rPr>
        <w:t xml:space="preserve"> was equally applicable in determining the legality of the appellant's detention. That case concerned section 20</w:t>
      </w:r>
      <w:proofErr w:type="gramStart"/>
      <w:r w:rsidRPr="00E14189">
        <w:rPr>
          <w:rFonts w:ascii="Times" w:eastAsia="Times New Roman" w:hAnsi="Times" w:cs="Times New Roman"/>
          <w:sz w:val="20"/>
          <w:szCs w:val="20"/>
        </w:rPr>
        <w:t>(</w:t>
      </w:r>
      <w:proofErr w:type="gramEnd"/>
      <w:r w:rsidRPr="00E14189">
        <w:rPr>
          <w:rFonts w:ascii="Times" w:eastAsia="Times New Roman" w:hAnsi="Times" w:cs="Times New Roman"/>
          <w:sz w:val="20"/>
          <w:szCs w:val="20"/>
        </w:rPr>
        <w:t xml:space="preserve">1) of the Children Act 1989, which provides: </w:t>
      </w:r>
      <w:bookmarkEnd w:id="25"/>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 xml:space="preserve">"Every local </w:t>
      </w:r>
      <w:proofErr w:type="gramStart"/>
      <w:r w:rsidRPr="00E14189">
        <w:rPr>
          <w:rFonts w:ascii="Times" w:eastAsia="Times New Roman" w:hAnsi="Times" w:cs="Times New Roman"/>
          <w:sz w:val="20"/>
          <w:szCs w:val="20"/>
        </w:rPr>
        <w:t>authority</w:t>
      </w:r>
      <w:proofErr w:type="gramEnd"/>
      <w:r w:rsidRPr="00E14189">
        <w:rPr>
          <w:rFonts w:ascii="Times" w:eastAsia="Times New Roman" w:hAnsi="Times" w:cs="Times New Roman"/>
          <w:sz w:val="20"/>
          <w:szCs w:val="20"/>
        </w:rPr>
        <w:t xml:space="preserve"> shall provide accommodation for any child in need within their area who appears to them to require accommodation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6" w:name="para26"/>
      <w:proofErr w:type="gramEnd"/>
      <w:r w:rsidRPr="00E14189">
        <w:rPr>
          <w:rFonts w:ascii="Times" w:eastAsia="Times New Roman" w:hAnsi="Times" w:cs="Times New Roman"/>
          <w:sz w:val="20"/>
          <w:szCs w:val="20"/>
        </w:rPr>
        <w:t xml:space="preserve">The appellants arrived in the United Kingdom and applied for asylum. They claimed to be aged under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but were assessed as over 18 by immigration officers. They were referred </w:t>
      </w:r>
      <w:proofErr w:type="gramStart"/>
      <w:r w:rsidRPr="00E14189">
        <w:rPr>
          <w:rFonts w:ascii="Times" w:eastAsia="Times New Roman" w:hAnsi="Times" w:cs="Times New Roman"/>
          <w:sz w:val="20"/>
          <w:szCs w:val="20"/>
        </w:rPr>
        <w:t>to</w:t>
      </w:r>
      <w:proofErr w:type="gramEnd"/>
      <w:r w:rsidRPr="00E14189">
        <w:rPr>
          <w:rFonts w:ascii="Times" w:eastAsia="Times New Roman" w:hAnsi="Times" w:cs="Times New Roman"/>
          <w:sz w:val="20"/>
          <w:szCs w:val="20"/>
        </w:rPr>
        <w:t xml:space="preserve"> the social services departments of the appropriate local authorities and interviewed by social workers, who also concluded that they were over 18. The local authorities therefore refused to provide accommodation </w:t>
      </w:r>
      <w:proofErr w:type="gramStart"/>
      <w:r w:rsidRPr="00E14189">
        <w:rPr>
          <w:rFonts w:ascii="Times" w:eastAsia="Times New Roman" w:hAnsi="Times" w:cs="Times New Roman"/>
          <w:sz w:val="20"/>
          <w:szCs w:val="20"/>
        </w:rPr>
        <w:t>for</w:t>
      </w:r>
      <w:proofErr w:type="gramEnd"/>
      <w:r w:rsidRPr="00E14189">
        <w:rPr>
          <w:rFonts w:ascii="Times" w:eastAsia="Times New Roman" w:hAnsi="Times" w:cs="Times New Roman"/>
          <w:sz w:val="20"/>
          <w:szCs w:val="20"/>
        </w:rPr>
        <w:t xml:space="preserve"> them under section 20 of the 1989 Act. They challenged the local authorities' decisions. The issue before the Supreme Court was whether the question of their age was one for the decision of the court or was for the decision of the local </w:t>
      </w:r>
      <w:proofErr w:type="gramStart"/>
      <w:r w:rsidRPr="00E14189">
        <w:rPr>
          <w:rFonts w:ascii="Times" w:eastAsia="Times New Roman" w:hAnsi="Times" w:cs="Times New Roman"/>
          <w:sz w:val="20"/>
          <w:szCs w:val="20"/>
        </w:rPr>
        <w:t>authority</w:t>
      </w:r>
      <w:proofErr w:type="gramEnd"/>
      <w:r w:rsidRPr="00E14189">
        <w:rPr>
          <w:rFonts w:ascii="Times" w:eastAsia="Times New Roman" w:hAnsi="Times" w:cs="Times New Roman"/>
          <w:sz w:val="20"/>
          <w:szCs w:val="20"/>
        </w:rPr>
        <w:t xml:space="preserve">, subject to review on standard public law grounds. The court decided that it was </w:t>
      </w:r>
      <w:proofErr w:type="gramStart"/>
      <w:r w:rsidRPr="00E14189">
        <w:rPr>
          <w:rFonts w:ascii="Times" w:eastAsia="Times New Roman" w:hAnsi="Times" w:cs="Times New Roman"/>
          <w:sz w:val="20"/>
          <w:szCs w:val="20"/>
        </w:rPr>
        <w:t>the</w:t>
      </w:r>
      <w:proofErr w:type="gramEnd"/>
      <w:r w:rsidRPr="00E14189">
        <w:rPr>
          <w:rFonts w:ascii="Times" w:eastAsia="Times New Roman" w:hAnsi="Times" w:cs="Times New Roman"/>
          <w:sz w:val="20"/>
          <w:szCs w:val="20"/>
        </w:rPr>
        <w:t xml:space="preserve"> former. </w:t>
      </w:r>
      <w:bookmarkEnd w:id="26"/>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7" w:name="para27"/>
      <w:proofErr w:type="gramEnd"/>
      <w:r w:rsidRPr="00E14189">
        <w:rPr>
          <w:rFonts w:ascii="Times" w:eastAsia="Times New Roman" w:hAnsi="Times" w:cs="Times New Roman"/>
          <w:sz w:val="20"/>
          <w:szCs w:val="20"/>
        </w:rPr>
        <w:t xml:space="preserve">The court arrived at that conclusion as a simple matter of construction of the language of section 20. </w:t>
      </w:r>
      <w:proofErr w:type="gramStart"/>
      <w:r w:rsidRPr="00E14189">
        <w:rPr>
          <w:rFonts w:ascii="Times" w:eastAsia="Times New Roman" w:hAnsi="Times" w:cs="Times New Roman"/>
          <w:sz w:val="20"/>
          <w:szCs w:val="20"/>
        </w:rPr>
        <w:t>The court declined to read the words "who appears to them" as applying not only to the question of the applicant's need for accommodation, b</w:t>
      </w:r>
      <w:proofErr w:type="gramEnd"/>
      <w:r w:rsidRPr="00E14189">
        <w:rPr>
          <w:rFonts w:ascii="Times" w:eastAsia="Times New Roman" w:hAnsi="Times" w:cs="Times New Roman"/>
          <w:sz w:val="20"/>
          <w:szCs w:val="20"/>
        </w:rPr>
        <w:t xml:space="preserve">ut also to the question whether the applicant was a child, because that was not how the section was drafted. </w:t>
      </w:r>
      <w:proofErr w:type="gramStart"/>
      <w:r w:rsidRPr="00E14189">
        <w:rPr>
          <w:rFonts w:ascii="Times" w:eastAsia="Times New Roman" w:hAnsi="Times" w:cs="Times New Roman"/>
          <w:sz w:val="20"/>
          <w:szCs w:val="20"/>
        </w:rPr>
        <w:t>On the face of the wording of the section, the question whether the applicant was a child was a question of fact for determination by the co</w:t>
      </w:r>
      <w:proofErr w:type="gramEnd"/>
      <w:r w:rsidRPr="00E14189">
        <w:rPr>
          <w:rFonts w:ascii="Times" w:eastAsia="Times New Roman" w:hAnsi="Times" w:cs="Times New Roman"/>
          <w:sz w:val="20"/>
          <w:szCs w:val="20"/>
        </w:rPr>
        <w:t xml:space="preserve">urt in the event of a dispute. </w:t>
      </w:r>
      <w:proofErr w:type="gramStart"/>
      <w:r w:rsidRPr="00E14189">
        <w:rPr>
          <w:rFonts w:ascii="Times" w:eastAsia="Times New Roman" w:hAnsi="Times" w:cs="Times New Roman"/>
          <w:sz w:val="20"/>
          <w:szCs w:val="20"/>
        </w:rPr>
        <w:t>Faced with what appeared to the court to be clear wording, it was not impressed by other arguments put forward by the local authorities, bas</w:t>
      </w:r>
      <w:proofErr w:type="gramEnd"/>
      <w:r w:rsidRPr="00E14189">
        <w:rPr>
          <w:rFonts w:ascii="Times" w:eastAsia="Times New Roman" w:hAnsi="Times" w:cs="Times New Roman"/>
          <w:sz w:val="20"/>
          <w:szCs w:val="20"/>
        </w:rPr>
        <w:t xml:space="preserve">ed on the wider structure of the Act and practical considerations. </w:t>
      </w:r>
      <w:bookmarkEnd w:id="27"/>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r w:rsidRPr="00E14189">
        <w:rPr>
          <w:rFonts w:ascii="Times" w:eastAsia="Times New Roman" w:hAnsi="Times" w:cs="Times New Roman"/>
          <w:sz w:val="20"/>
          <w:szCs w:val="20"/>
        </w:rPr>
        <w:t xml:space="preserve">  </w:t>
      </w:r>
      <w:bookmarkStart w:id="28" w:name="para28"/>
      <w:r w:rsidRPr="00E14189">
        <w:rPr>
          <w:rFonts w:ascii="Times" w:eastAsia="Times New Roman" w:hAnsi="Times" w:cs="Times New Roman"/>
          <w:i/>
          <w:iCs/>
          <w:sz w:val="20"/>
          <w:szCs w:val="20"/>
        </w:rPr>
        <w:t>Croydon</w:t>
      </w:r>
      <w:r w:rsidRPr="00E14189">
        <w:rPr>
          <w:rFonts w:ascii="Times" w:eastAsia="Times New Roman" w:hAnsi="Times" w:cs="Times New Roman"/>
          <w:sz w:val="20"/>
          <w:szCs w:val="20"/>
        </w:rPr>
        <w:t xml:space="preserve"> was considered by Lang J in </w:t>
      </w:r>
      <w:r w:rsidRPr="00E14189">
        <w:rPr>
          <w:rFonts w:ascii="Times" w:eastAsia="Times New Roman" w:hAnsi="Times" w:cs="Times New Roman"/>
          <w:i/>
          <w:iCs/>
          <w:sz w:val="20"/>
          <w:szCs w:val="20"/>
        </w:rPr>
        <w:t>AAM v Secretary of State for the Home Department</w:t>
      </w:r>
      <w:r w:rsidRPr="00E14189">
        <w:rPr>
          <w:rFonts w:ascii="Times" w:eastAsia="Times New Roman" w:hAnsi="Times" w:cs="Times New Roman"/>
          <w:sz w:val="20"/>
          <w:szCs w:val="20"/>
        </w:rPr>
        <w:t xml:space="preserve"> </w:t>
      </w:r>
      <w:bookmarkEnd w:id="28"/>
      <w:r w:rsidRPr="00E14189">
        <w:rPr>
          <w:rFonts w:ascii="Times" w:eastAsia="Times New Roman" w:hAnsi="Times" w:cs="Times New Roman"/>
          <w:sz w:val="20"/>
          <w:szCs w:val="20"/>
        </w:rPr>
        <w:fldChar w:fldCharType="begin"/>
      </w:r>
      <w:r w:rsidRPr="00E14189">
        <w:rPr>
          <w:rFonts w:ascii="Times" w:eastAsia="Times New Roman" w:hAnsi="Times" w:cs="Times New Roman"/>
          <w:sz w:val="20"/>
          <w:szCs w:val="20"/>
        </w:rPr>
        <w:instrText xml:space="preserve"> HYPERLINK "http://www.bailii.org/cgi-bin/redirect.cgi?path=/ew/cases/EWHC/QB/2012/2567.html" \o "Link to BAILII version" </w:instrText>
      </w:r>
      <w:r w:rsidRPr="00E14189">
        <w:rPr>
          <w:rFonts w:ascii="Times" w:eastAsia="Times New Roman" w:hAnsi="Times" w:cs="Times New Roman"/>
          <w:sz w:val="20"/>
          <w:szCs w:val="20"/>
        </w:rPr>
      </w:r>
      <w:r w:rsidRPr="00E14189">
        <w:rPr>
          <w:rFonts w:ascii="Times" w:eastAsia="Times New Roman" w:hAnsi="Times" w:cs="Times New Roman"/>
          <w:sz w:val="20"/>
          <w:szCs w:val="20"/>
        </w:rPr>
        <w:fldChar w:fldCharType="separate"/>
      </w:r>
      <w:r w:rsidRPr="00E14189">
        <w:rPr>
          <w:rFonts w:ascii="Times" w:eastAsia="Times New Roman" w:hAnsi="Times" w:cs="Times New Roman"/>
          <w:color w:val="0000FF"/>
          <w:sz w:val="20"/>
          <w:szCs w:val="20"/>
          <w:u w:val="single"/>
        </w:rPr>
        <w:t>[2012] EWHC 2567 (QB)</w:t>
      </w:r>
      <w:r w:rsidRPr="00E14189">
        <w:rPr>
          <w:rFonts w:ascii="Times" w:eastAsia="Times New Roman" w:hAnsi="Times" w:cs="Times New Roman"/>
          <w:sz w:val="20"/>
          <w:szCs w:val="20"/>
        </w:rPr>
        <w:fldChar w:fldCharType="end"/>
      </w:r>
      <w:r w:rsidRPr="00E14189">
        <w:rPr>
          <w:rFonts w:ascii="Times" w:eastAsia="Times New Roman" w:hAnsi="Times" w:cs="Times New Roman"/>
          <w:sz w:val="20"/>
          <w:szCs w:val="20"/>
        </w:rPr>
        <w:t xml:space="preserve">. The claim was for damages </w:t>
      </w:r>
      <w:proofErr w:type="gramStart"/>
      <w:r w:rsidRPr="00E14189">
        <w:rPr>
          <w:rFonts w:ascii="Times" w:eastAsia="Times New Roman" w:hAnsi="Times" w:cs="Times New Roman"/>
          <w:sz w:val="20"/>
          <w:szCs w:val="20"/>
        </w:rPr>
        <w:t>for</w:t>
      </w:r>
      <w:proofErr w:type="gramEnd"/>
      <w:r w:rsidRPr="00E14189">
        <w:rPr>
          <w:rFonts w:ascii="Times" w:eastAsia="Times New Roman" w:hAnsi="Times" w:cs="Times New Roman"/>
          <w:sz w:val="20"/>
          <w:szCs w:val="20"/>
        </w:rPr>
        <w:t xml:space="preserve"> false imprisonment and breach of article 5 of the European Convention on Human Rights. The defendant conceded that the detention had been unlawful because immigration officers had wrongly applied a presumption that an asylum seeker who arrived clandestinely should be detained, but it disputed other grounds </w:t>
      </w:r>
      <w:proofErr w:type="gramStart"/>
      <w:r w:rsidRPr="00E14189">
        <w:rPr>
          <w:rFonts w:ascii="Times" w:eastAsia="Times New Roman" w:hAnsi="Times" w:cs="Times New Roman"/>
          <w:sz w:val="20"/>
          <w:szCs w:val="20"/>
        </w:rPr>
        <w:t>on</w:t>
      </w:r>
      <w:proofErr w:type="gramEnd"/>
      <w:r w:rsidRPr="00E14189">
        <w:rPr>
          <w:rFonts w:ascii="Times" w:eastAsia="Times New Roman" w:hAnsi="Times" w:cs="Times New Roman"/>
          <w:sz w:val="20"/>
          <w:szCs w:val="20"/>
        </w:rPr>
        <w:t xml:space="preserve"> which the claimant alleged that his detention was unlawful. </w:t>
      </w:r>
      <w:proofErr w:type="gramStart"/>
      <w:r w:rsidRPr="00E14189">
        <w:rPr>
          <w:rFonts w:ascii="Times" w:eastAsia="Times New Roman" w:hAnsi="Times" w:cs="Times New Roman"/>
          <w:sz w:val="20"/>
          <w:szCs w:val="20"/>
        </w:rPr>
        <w:t>The judgment was concerned with that dispute, which was thought to have a potential bearing on the assessment of compensation</w:t>
      </w:r>
      <w:proofErr w:type="gramEnd"/>
      <w:r w:rsidRPr="00E14189">
        <w:rPr>
          <w:rFonts w:ascii="Times" w:eastAsia="Times New Roman" w:hAnsi="Times" w:cs="Times New Roman"/>
          <w:sz w:val="20"/>
          <w:szCs w:val="20"/>
        </w:rPr>
        <w:t xml:space="preserve">. </w:t>
      </w:r>
      <w:proofErr w:type="gramStart"/>
      <w:r w:rsidRPr="00E14189">
        <w:rPr>
          <w:rFonts w:ascii="Times" w:eastAsia="Times New Roman" w:hAnsi="Times" w:cs="Times New Roman"/>
          <w:sz w:val="20"/>
          <w:szCs w:val="20"/>
        </w:rPr>
        <w:t>The case bears some resemblances</w:t>
      </w:r>
      <w:proofErr w:type="gramEnd"/>
      <w:r w:rsidRPr="00E14189">
        <w:rPr>
          <w:rFonts w:ascii="Times" w:eastAsia="Times New Roman" w:hAnsi="Times" w:cs="Times New Roman"/>
          <w:sz w:val="20"/>
          <w:szCs w:val="20"/>
        </w:rPr>
        <w:t xml:space="preserve"> to the present case but there were also factual differences.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29" w:name="para29"/>
      <w:proofErr w:type="gramEnd"/>
      <w:r w:rsidRPr="00E14189">
        <w:rPr>
          <w:rFonts w:ascii="Times" w:eastAsia="Times New Roman" w:hAnsi="Times" w:cs="Times New Roman"/>
          <w:sz w:val="20"/>
          <w:szCs w:val="20"/>
        </w:rPr>
        <w:t xml:space="preserve">The police were called when the claimant went into a petrol station asking for food. He told the police through an interpreter that he was </w:t>
      </w:r>
      <w:proofErr w:type="gramStart"/>
      <w:r w:rsidRPr="00E14189">
        <w:rPr>
          <w:rFonts w:ascii="Times" w:eastAsia="Times New Roman" w:hAnsi="Times" w:cs="Times New Roman"/>
          <w:sz w:val="20"/>
          <w:szCs w:val="20"/>
        </w:rPr>
        <w:t>15</w:t>
      </w:r>
      <w:proofErr w:type="gramEnd"/>
      <w:r w:rsidRPr="00E14189">
        <w:rPr>
          <w:rFonts w:ascii="Times" w:eastAsia="Times New Roman" w:hAnsi="Times" w:cs="Times New Roman"/>
          <w:sz w:val="20"/>
          <w:szCs w:val="20"/>
        </w:rPr>
        <w:t xml:space="preserve"> years old and came from Iran. </w:t>
      </w:r>
      <w:proofErr w:type="gramStart"/>
      <w:r w:rsidRPr="00E14189">
        <w:rPr>
          <w:rFonts w:ascii="Times" w:eastAsia="Times New Roman" w:hAnsi="Times" w:cs="Times New Roman"/>
          <w:sz w:val="20"/>
          <w:szCs w:val="20"/>
        </w:rPr>
        <w:t>He was detained and the police notified the social services department of the local county council</w:t>
      </w:r>
      <w:proofErr w:type="gramEnd"/>
      <w:r w:rsidRPr="00E14189">
        <w:rPr>
          <w:rFonts w:ascii="Times" w:eastAsia="Times New Roman" w:hAnsi="Times" w:cs="Times New Roman"/>
          <w:sz w:val="20"/>
          <w:szCs w:val="20"/>
        </w:rPr>
        <w:t xml:space="preserve">. A social worker conducted an age assessment and concluded that he was over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w:t>
      </w:r>
      <w:proofErr w:type="gramStart"/>
      <w:r w:rsidRPr="00E14189">
        <w:rPr>
          <w:rFonts w:ascii="Times" w:eastAsia="Times New Roman" w:hAnsi="Times" w:cs="Times New Roman"/>
          <w:sz w:val="20"/>
          <w:szCs w:val="20"/>
        </w:rPr>
        <w:t>The police called the Border Agency and an immigration officer took the decision that he should be detained</w:t>
      </w:r>
      <w:proofErr w:type="gramEnd"/>
      <w:r w:rsidRPr="00E14189">
        <w:rPr>
          <w:rFonts w:ascii="Times" w:eastAsia="Times New Roman" w:hAnsi="Times" w:cs="Times New Roman"/>
          <w:sz w:val="20"/>
          <w:szCs w:val="20"/>
        </w:rPr>
        <w:t xml:space="preserve">. </w:t>
      </w:r>
      <w:bookmarkEnd w:id="29"/>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0" w:name="para30"/>
      <w:proofErr w:type="gramEnd"/>
      <w:r w:rsidRPr="00E14189">
        <w:rPr>
          <w:rFonts w:ascii="Times" w:eastAsia="Times New Roman" w:hAnsi="Times" w:cs="Times New Roman"/>
          <w:sz w:val="20"/>
          <w:szCs w:val="20"/>
        </w:rPr>
        <w:t xml:space="preserve">The immigration officer gave evidence before Lang J. The judge found that the decision to detain was unlawful because the immigration officer failed to ask herself the right questions or to take reasonable steps to acquaint herself with the information needed to make her decision. She did not know the requirements of a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-compliant assessment. A later re-assessment by social services concluded that the appellant was </w:t>
      </w:r>
      <w:proofErr w:type="gramStart"/>
      <w:r w:rsidRPr="00E14189">
        <w:rPr>
          <w:rFonts w:ascii="Times" w:eastAsia="Times New Roman" w:hAnsi="Times" w:cs="Times New Roman"/>
          <w:sz w:val="20"/>
          <w:szCs w:val="20"/>
        </w:rPr>
        <w:t>17</w:t>
      </w:r>
      <w:proofErr w:type="gramEnd"/>
      <w:r w:rsidRPr="00E14189">
        <w:rPr>
          <w:rFonts w:ascii="Times" w:eastAsia="Times New Roman" w:hAnsi="Times" w:cs="Times New Roman"/>
          <w:sz w:val="20"/>
          <w:szCs w:val="20"/>
        </w:rPr>
        <w:t xml:space="preserve">. </w:t>
      </w:r>
      <w:proofErr w:type="gramStart"/>
      <w:r w:rsidRPr="00E14189">
        <w:rPr>
          <w:rFonts w:ascii="Times" w:eastAsia="Times New Roman" w:hAnsi="Times" w:cs="Times New Roman"/>
          <w:sz w:val="20"/>
          <w:szCs w:val="20"/>
        </w:rPr>
        <w:t>At</w:t>
      </w:r>
      <w:proofErr w:type="gramEnd"/>
      <w:r w:rsidRPr="00E14189">
        <w:rPr>
          <w:rFonts w:ascii="Times" w:eastAsia="Times New Roman" w:hAnsi="Times" w:cs="Times New Roman"/>
          <w:sz w:val="20"/>
          <w:szCs w:val="20"/>
        </w:rPr>
        <w:t xml:space="preserve"> the trial it was accepted as a fact that he was 15 and that the way in which the first assessment had been carried out was defective. </w:t>
      </w:r>
      <w:bookmarkEnd w:id="30"/>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1" w:name="para31"/>
      <w:proofErr w:type="gramEnd"/>
      <w:r w:rsidRPr="00E14189">
        <w:rPr>
          <w:rFonts w:ascii="Times" w:eastAsia="Times New Roman" w:hAnsi="Times" w:cs="Times New Roman"/>
          <w:sz w:val="20"/>
          <w:szCs w:val="20"/>
        </w:rPr>
        <w:t xml:space="preserve">As to the proper interpretation of the policy set out in EIG paragraph 55.9.3.1, Lang J accepted the defendant's submission that it was not to be read as imposing a pre-condition that a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 xml:space="preserve">-compliant age assessment had been carried out. </w:t>
      </w:r>
      <w:proofErr w:type="gramStart"/>
      <w:r w:rsidRPr="00E14189">
        <w:rPr>
          <w:rFonts w:ascii="Times" w:eastAsia="Times New Roman" w:hAnsi="Times" w:cs="Times New Roman"/>
          <w:sz w:val="20"/>
          <w:szCs w:val="20"/>
        </w:rPr>
        <w:t>Rather, an immigration officer was required to make an independent evaluation and exercise his judgment in deciding whether or not the crite</w:t>
      </w:r>
      <w:proofErr w:type="gramEnd"/>
      <w:r w:rsidRPr="00E14189">
        <w:rPr>
          <w:rFonts w:ascii="Times" w:eastAsia="Times New Roman" w:hAnsi="Times" w:cs="Times New Roman"/>
          <w:sz w:val="20"/>
          <w:szCs w:val="20"/>
        </w:rPr>
        <w:t xml:space="preserve">ria in the paragraph were met. On the judge's findings, the immigration officer lacked the training to have done </w:t>
      </w:r>
      <w:proofErr w:type="gramStart"/>
      <w:r w:rsidRPr="00E14189">
        <w:rPr>
          <w:rFonts w:ascii="Times" w:eastAsia="Times New Roman" w:hAnsi="Times" w:cs="Times New Roman"/>
          <w:sz w:val="20"/>
          <w:szCs w:val="20"/>
        </w:rPr>
        <w:t>so</w:t>
      </w:r>
      <w:proofErr w:type="gramEnd"/>
      <w:r w:rsidRPr="00E14189">
        <w:rPr>
          <w:rFonts w:ascii="Times" w:eastAsia="Times New Roman" w:hAnsi="Times" w:cs="Times New Roman"/>
          <w:sz w:val="20"/>
          <w:szCs w:val="20"/>
        </w:rPr>
        <w:t xml:space="preserve"> and failed the test. </w:t>
      </w:r>
      <w:proofErr w:type="gramStart"/>
      <w:r w:rsidRPr="00E14189">
        <w:rPr>
          <w:rFonts w:ascii="Times" w:eastAsia="Times New Roman" w:hAnsi="Times" w:cs="Times New Roman"/>
          <w:sz w:val="20"/>
          <w:szCs w:val="20"/>
        </w:rPr>
        <w:t>Her factual findings were sufficient to justify the conclusion that the decision to detain was unlawful</w:t>
      </w:r>
      <w:proofErr w:type="gramEnd"/>
      <w:r w:rsidRPr="00E14189">
        <w:rPr>
          <w:rFonts w:ascii="Times" w:eastAsia="Times New Roman" w:hAnsi="Times" w:cs="Times New Roman"/>
          <w:sz w:val="20"/>
          <w:szCs w:val="20"/>
        </w:rPr>
        <w:t xml:space="preserve">. </w:t>
      </w:r>
      <w:bookmarkEnd w:id="31"/>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2" w:name="para32"/>
      <w:proofErr w:type="gramEnd"/>
      <w:r w:rsidRPr="00E14189">
        <w:rPr>
          <w:rFonts w:ascii="Times" w:eastAsia="Times New Roman" w:hAnsi="Times" w:cs="Times New Roman"/>
          <w:sz w:val="20"/>
          <w:szCs w:val="20"/>
        </w:rPr>
        <w:t xml:space="preserve">However, Lang J went on to consider a further argument based on section 55. The argument in short was that since the claimant was under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and his welfare had not been taken into account when making the decision to detain, his detention was therefore in breach of section 55. </w:t>
      </w:r>
      <w:proofErr w:type="gramStart"/>
      <w:r w:rsidRPr="00E14189">
        <w:rPr>
          <w:rFonts w:ascii="Times" w:eastAsia="Times New Roman" w:hAnsi="Times" w:cs="Times New Roman"/>
          <w:sz w:val="20"/>
          <w:szCs w:val="20"/>
        </w:rPr>
        <w:t>It is not entirely clear whether this part of her judgment was intended to be read in the light of the factual findings which she had alread</w:t>
      </w:r>
      <w:proofErr w:type="gramEnd"/>
      <w:r w:rsidRPr="00E14189">
        <w:rPr>
          <w:rFonts w:ascii="Times" w:eastAsia="Times New Roman" w:hAnsi="Times" w:cs="Times New Roman"/>
          <w:sz w:val="20"/>
          <w:szCs w:val="20"/>
        </w:rPr>
        <w:t xml:space="preserve">y made or was intended to apply whether or not the immigration officer had approached the matter properly in terms of the guidance in EIG 55.9.3.1. </w:t>
      </w:r>
      <w:bookmarkEnd w:id="32"/>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3" w:name="para33"/>
      <w:proofErr w:type="gramEnd"/>
      <w:r w:rsidRPr="00E14189">
        <w:rPr>
          <w:rFonts w:ascii="Times" w:eastAsia="Times New Roman" w:hAnsi="Times" w:cs="Times New Roman"/>
          <w:sz w:val="20"/>
          <w:szCs w:val="20"/>
        </w:rPr>
        <w:t>There are a number of strands to Lang J's reasoning under this head. First, she laid stress on the word "ensuring" in section 55</w:t>
      </w:r>
      <w:proofErr w:type="gramStart"/>
      <w:r w:rsidRPr="00E14189">
        <w:rPr>
          <w:rFonts w:ascii="Times" w:eastAsia="Times New Roman" w:hAnsi="Times" w:cs="Times New Roman"/>
          <w:sz w:val="20"/>
          <w:szCs w:val="20"/>
        </w:rPr>
        <w:t>(</w:t>
      </w:r>
      <w:proofErr w:type="gramEnd"/>
      <w:r w:rsidRPr="00E14189">
        <w:rPr>
          <w:rFonts w:ascii="Times" w:eastAsia="Times New Roman" w:hAnsi="Times" w:cs="Times New Roman"/>
          <w:sz w:val="20"/>
          <w:szCs w:val="20"/>
        </w:rPr>
        <w:t xml:space="preserve">1). If </w:t>
      </w:r>
      <w:proofErr w:type="gramStart"/>
      <w:r w:rsidRPr="00E14189">
        <w:rPr>
          <w:rFonts w:ascii="Times" w:eastAsia="Times New Roman" w:hAnsi="Times" w:cs="Times New Roman"/>
          <w:sz w:val="20"/>
          <w:szCs w:val="20"/>
        </w:rPr>
        <w:t>the policy</w:t>
      </w:r>
      <w:proofErr w:type="gramEnd"/>
      <w:r w:rsidRPr="00E14189">
        <w:rPr>
          <w:rFonts w:ascii="Times" w:eastAsia="Times New Roman" w:hAnsi="Times" w:cs="Times New Roman"/>
          <w:sz w:val="20"/>
          <w:szCs w:val="20"/>
        </w:rPr>
        <w:t xml:space="preserve"> in EIG 55.9.3.1 authorised an immigration officer to make a decision on a "reasonable belief" that the person was an adult, and thereby allowed for the possibility of the immigration officer being mistaken, then the policy did not "ensure" that the welfare principle was complied with, as required by section 55. </w:t>
      </w:r>
      <w:proofErr w:type="gramStart"/>
      <w:r w:rsidRPr="00E14189">
        <w:rPr>
          <w:rFonts w:ascii="Times" w:eastAsia="Times New Roman" w:hAnsi="Times" w:cs="Times New Roman"/>
          <w:sz w:val="20"/>
          <w:szCs w:val="20"/>
        </w:rPr>
        <w:t>The alternative was that the policy only authorised an immigration officer to treat a person as an adult if he was in fact an adult</w:t>
      </w:r>
      <w:proofErr w:type="gramEnd"/>
      <w:r w:rsidRPr="00E14189">
        <w:rPr>
          <w:rFonts w:ascii="Times" w:eastAsia="Times New Roman" w:hAnsi="Times" w:cs="Times New Roman"/>
          <w:sz w:val="20"/>
          <w:szCs w:val="20"/>
        </w:rPr>
        <w:t xml:space="preserve">. On that basis </w:t>
      </w:r>
      <w:proofErr w:type="gramStart"/>
      <w:r w:rsidRPr="00E14189">
        <w:rPr>
          <w:rFonts w:ascii="Times" w:eastAsia="Times New Roman" w:hAnsi="Times" w:cs="Times New Roman"/>
          <w:sz w:val="20"/>
          <w:szCs w:val="20"/>
        </w:rPr>
        <w:t>the policy complied</w:t>
      </w:r>
      <w:proofErr w:type="gramEnd"/>
      <w:r w:rsidRPr="00E14189">
        <w:rPr>
          <w:rFonts w:ascii="Times" w:eastAsia="Times New Roman" w:hAnsi="Times" w:cs="Times New Roman"/>
          <w:sz w:val="20"/>
          <w:szCs w:val="20"/>
        </w:rPr>
        <w:t xml:space="preserve"> with section 55, but, if the immigration officer made a mistake, there would then have been a breach of the policy. </w:t>
      </w:r>
      <w:bookmarkEnd w:id="33"/>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4" w:name="para34"/>
      <w:proofErr w:type="gramEnd"/>
      <w:r w:rsidRPr="00E14189">
        <w:rPr>
          <w:rFonts w:ascii="Times" w:eastAsia="Times New Roman" w:hAnsi="Times" w:cs="Times New Roman"/>
          <w:sz w:val="20"/>
          <w:szCs w:val="20"/>
        </w:rPr>
        <w:t xml:space="preserve">I have some difficulty in following how this part of the judgment fits with the earlier part. </w:t>
      </w:r>
      <w:proofErr w:type="gramStart"/>
      <w:r w:rsidRPr="00E14189">
        <w:rPr>
          <w:rFonts w:ascii="Times" w:eastAsia="Times New Roman" w:hAnsi="Times" w:cs="Times New Roman"/>
          <w:sz w:val="20"/>
          <w:szCs w:val="20"/>
        </w:rPr>
        <w:t>The judge had previously concluded that EIG 55.9.3.1 required the immigration officer to make an independent evaluation and exercise his jud</w:t>
      </w:r>
      <w:proofErr w:type="gramEnd"/>
      <w:r w:rsidRPr="00E14189">
        <w:rPr>
          <w:rFonts w:ascii="Times" w:eastAsia="Times New Roman" w:hAnsi="Times" w:cs="Times New Roman"/>
          <w:sz w:val="20"/>
          <w:szCs w:val="20"/>
        </w:rPr>
        <w:t xml:space="preserve">gment in deciding whether the criteria of the paragraph were met. </w:t>
      </w:r>
      <w:proofErr w:type="gramStart"/>
      <w:r w:rsidRPr="00E14189">
        <w:rPr>
          <w:rFonts w:ascii="Times" w:eastAsia="Times New Roman" w:hAnsi="Times" w:cs="Times New Roman"/>
          <w:sz w:val="20"/>
          <w:szCs w:val="20"/>
        </w:rPr>
        <w:t xml:space="preserve">The later passage appears to make a </w:t>
      </w:r>
      <w:r w:rsidRPr="00E14189">
        <w:rPr>
          <w:rFonts w:ascii="Times" w:eastAsia="Times New Roman" w:hAnsi="Times" w:cs="Times New Roman"/>
          <w:i/>
          <w:iCs/>
          <w:sz w:val="20"/>
          <w:szCs w:val="20"/>
        </w:rPr>
        <w:t>Merton</w:t>
      </w:r>
      <w:r w:rsidRPr="00E14189">
        <w:rPr>
          <w:rFonts w:ascii="Times" w:eastAsia="Times New Roman" w:hAnsi="Times" w:cs="Times New Roman"/>
          <w:sz w:val="20"/>
          <w:szCs w:val="20"/>
        </w:rPr>
        <w:t>-compliant age assessment a precondition of a valid decision under paragraph 55.9.3.1, which the j</w:t>
      </w:r>
      <w:proofErr w:type="gramEnd"/>
      <w:r w:rsidRPr="00E14189">
        <w:rPr>
          <w:rFonts w:ascii="Times" w:eastAsia="Times New Roman" w:hAnsi="Times" w:cs="Times New Roman"/>
          <w:sz w:val="20"/>
          <w:szCs w:val="20"/>
        </w:rPr>
        <w:t xml:space="preserve">udge had earlier rejected as a proposition. </w:t>
      </w:r>
      <w:bookmarkEnd w:id="34"/>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5" w:name="para35"/>
      <w:proofErr w:type="gramEnd"/>
      <w:r w:rsidRPr="00E14189">
        <w:rPr>
          <w:rFonts w:ascii="Times" w:eastAsia="Times New Roman" w:hAnsi="Times" w:cs="Times New Roman"/>
          <w:sz w:val="20"/>
          <w:szCs w:val="20"/>
        </w:rPr>
        <w:t xml:space="preserve">Secondly, Lang J referred to the guidance in Every Child Matters with its stress (as the title of the document suggests) on the need to take into account the welfare of the child in every case involving a child. </w:t>
      </w:r>
      <w:bookmarkEnd w:id="35"/>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r w:rsidRPr="00E14189">
        <w:rPr>
          <w:rFonts w:ascii="Times" w:eastAsia="Times New Roman" w:hAnsi="Times" w:cs="Times New Roman"/>
          <w:sz w:val="20"/>
          <w:szCs w:val="20"/>
        </w:rPr>
        <w:t xml:space="preserve">  </w:t>
      </w:r>
      <w:bookmarkStart w:id="36" w:name="para36"/>
      <w:r w:rsidRPr="00E14189">
        <w:rPr>
          <w:rFonts w:ascii="Times" w:eastAsia="Times New Roman" w:hAnsi="Times" w:cs="Times New Roman"/>
          <w:sz w:val="20"/>
          <w:szCs w:val="20"/>
        </w:rPr>
        <w:t xml:space="preserve">Thirdly, she referred to </w:t>
      </w:r>
      <w:r w:rsidRPr="00E14189">
        <w:rPr>
          <w:rFonts w:ascii="Times" w:eastAsia="Times New Roman" w:hAnsi="Times" w:cs="Times New Roman"/>
          <w:i/>
          <w:iCs/>
          <w:sz w:val="20"/>
          <w:szCs w:val="20"/>
        </w:rPr>
        <w:t>ZH (Tanzania) v Secretary of State for the Home</w:t>
      </w:r>
      <w:r w:rsidRPr="00E14189">
        <w:rPr>
          <w:rFonts w:ascii="Times" w:eastAsia="Times New Roman" w:hAnsi="Times" w:cs="Times New Roman"/>
          <w:sz w:val="20"/>
          <w:szCs w:val="20"/>
        </w:rPr>
        <w:t xml:space="preserve"> </w:t>
      </w:r>
      <w:r w:rsidRPr="00E14189">
        <w:rPr>
          <w:rFonts w:ascii="Times" w:eastAsia="Times New Roman" w:hAnsi="Times" w:cs="Times New Roman"/>
          <w:i/>
          <w:iCs/>
          <w:sz w:val="20"/>
          <w:szCs w:val="20"/>
        </w:rPr>
        <w:t>Department</w:t>
      </w:r>
      <w:r w:rsidRPr="00E14189">
        <w:rPr>
          <w:rFonts w:ascii="Times" w:eastAsia="Times New Roman" w:hAnsi="Times" w:cs="Times New Roman"/>
          <w:sz w:val="20"/>
          <w:szCs w:val="20"/>
        </w:rPr>
        <w:t xml:space="preserve"> </w:t>
      </w:r>
      <w:bookmarkEnd w:id="36"/>
      <w:r w:rsidRPr="00E14189">
        <w:rPr>
          <w:rFonts w:ascii="Times" w:eastAsia="Times New Roman" w:hAnsi="Times" w:cs="Times New Roman"/>
          <w:sz w:val="20"/>
          <w:szCs w:val="20"/>
        </w:rPr>
        <w:fldChar w:fldCharType="begin"/>
      </w:r>
      <w:r w:rsidRPr="00E14189">
        <w:rPr>
          <w:rFonts w:ascii="Times" w:eastAsia="Times New Roman" w:hAnsi="Times" w:cs="Times New Roman"/>
          <w:sz w:val="20"/>
          <w:szCs w:val="20"/>
        </w:rPr>
        <w:instrText xml:space="preserve"> HYPERLINK "http://www.bailii.org/uk/cases/UKSC/2011/4.html" \o "Link to BAILII version" </w:instrText>
      </w:r>
      <w:r w:rsidRPr="00E14189">
        <w:rPr>
          <w:rFonts w:ascii="Times" w:eastAsia="Times New Roman" w:hAnsi="Times" w:cs="Times New Roman"/>
          <w:sz w:val="20"/>
          <w:szCs w:val="20"/>
        </w:rPr>
      </w:r>
      <w:r w:rsidRPr="00E14189">
        <w:rPr>
          <w:rFonts w:ascii="Times" w:eastAsia="Times New Roman" w:hAnsi="Times" w:cs="Times New Roman"/>
          <w:sz w:val="20"/>
          <w:szCs w:val="20"/>
        </w:rPr>
        <w:fldChar w:fldCharType="separate"/>
      </w:r>
      <w:r w:rsidRPr="00E14189">
        <w:rPr>
          <w:rFonts w:ascii="Times" w:eastAsia="Times New Roman" w:hAnsi="Times" w:cs="Times New Roman"/>
          <w:color w:val="0000FF"/>
          <w:sz w:val="20"/>
          <w:szCs w:val="20"/>
          <w:u w:val="single"/>
        </w:rPr>
        <w:t>[2011] UKSC 4</w:t>
      </w:r>
      <w:r w:rsidRPr="00E14189">
        <w:rPr>
          <w:rFonts w:ascii="Times" w:eastAsia="Times New Roman" w:hAnsi="Times" w:cs="Times New Roman"/>
          <w:sz w:val="20"/>
          <w:szCs w:val="20"/>
        </w:rPr>
        <w:fldChar w:fldCharType="end"/>
      </w:r>
      <w:r w:rsidRPr="00E14189">
        <w:rPr>
          <w:rFonts w:ascii="Times" w:eastAsia="Times New Roman" w:hAnsi="Times" w:cs="Times New Roman"/>
          <w:sz w:val="20"/>
          <w:szCs w:val="20"/>
        </w:rPr>
        <w:t xml:space="preserve">, </w:t>
      </w:r>
      <w:hyperlink r:id="rId10" w:tooltip="Link to BAILII version" w:history="1">
        <w:r w:rsidRPr="00E14189">
          <w:rPr>
            <w:rFonts w:ascii="Times" w:eastAsia="Times New Roman" w:hAnsi="Times" w:cs="Times New Roman"/>
            <w:color w:val="0000FF"/>
            <w:sz w:val="20"/>
            <w:szCs w:val="20"/>
            <w:u w:val="single"/>
          </w:rPr>
          <w:t>[2011] 2 AC 166</w:t>
        </w:r>
      </w:hyperlink>
      <w:r w:rsidRPr="00E14189">
        <w:rPr>
          <w:rFonts w:ascii="Times" w:eastAsia="Times New Roman" w:hAnsi="Times" w:cs="Times New Roman"/>
          <w:sz w:val="20"/>
          <w:szCs w:val="20"/>
        </w:rPr>
        <w:t xml:space="preserve">, at paras 23 to 25, where Lady Hale emphasised the requirement in article 3.1 of the United Nations Convention on the Rights of the Child 1989 ("UNCRC") that in all actions concerning children taken by public authorities, including courts, the best interests of the child shall be a primary consideration.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7" w:name="para37"/>
      <w:proofErr w:type="gramEnd"/>
      <w:r w:rsidRPr="00E14189">
        <w:rPr>
          <w:rFonts w:ascii="Times" w:eastAsia="Times New Roman" w:hAnsi="Times" w:cs="Times New Roman"/>
          <w:sz w:val="20"/>
          <w:szCs w:val="20"/>
        </w:rPr>
        <w:t xml:space="preserve">Fourthly, Lang J referred to a number of decisions in the Administrative Court where failures by decision makers to have regard to the welfare principle when individual decisions were made had led to successful legal challenges. </w:t>
      </w:r>
      <w:bookmarkEnd w:id="37"/>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8" w:name="para38"/>
      <w:proofErr w:type="gramEnd"/>
      <w:r w:rsidRPr="00E14189">
        <w:rPr>
          <w:rFonts w:ascii="Times" w:eastAsia="Times New Roman" w:hAnsi="Times" w:cs="Times New Roman"/>
          <w:sz w:val="20"/>
          <w:szCs w:val="20"/>
        </w:rPr>
        <w:t xml:space="preserve">Lang J concluded: </w:t>
      </w:r>
      <w:bookmarkEnd w:id="38"/>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"128 Unfortunately, the immigration officers did not have regard to the claimant's status as a child, and the need to safeguard and promote his welfare as a child, when they made the decision to detain him, because they were under the mistaken belief that he was not a child.</w:t>
      </w:r>
      <w:proofErr w:type="gramEnd"/>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129 However, he was in fact a child, within the meaning of the definition of</w:t>
      </w:r>
      <w:proofErr w:type="gramStart"/>
      <w:r w:rsidRPr="00E14189">
        <w:rPr>
          <w:rFonts w:ascii="Times" w:eastAsia="Times New Roman" w:hAnsi="Times" w:cs="Times New Roman"/>
          <w:sz w:val="20"/>
          <w:szCs w:val="20"/>
        </w:rPr>
        <w:t xml:space="preserve"> '</w:t>
      </w:r>
      <w:proofErr w:type="gramEnd"/>
      <w:r w:rsidRPr="00E14189">
        <w:rPr>
          <w:rFonts w:ascii="Times" w:eastAsia="Times New Roman" w:hAnsi="Times" w:cs="Times New Roman"/>
          <w:sz w:val="20"/>
          <w:szCs w:val="20"/>
        </w:rPr>
        <w:t xml:space="preserve">child' in sub-section (6), and it is not possible to interpret this definition as if Parliament had included the words 'appears to be a child' or 'is reasonably believed to be a child'. Applying the analysis adopted by the House of Lords in </w:t>
      </w:r>
      <w:r w:rsidRPr="00E14189">
        <w:rPr>
          <w:rFonts w:ascii="Times" w:eastAsia="Times New Roman" w:hAnsi="Times" w:cs="Times New Roman"/>
          <w:i/>
          <w:iCs/>
          <w:sz w:val="20"/>
          <w:szCs w:val="20"/>
        </w:rPr>
        <w:t>R (A) v Croydon</w:t>
      </w:r>
      <w:r w:rsidRPr="00E14189">
        <w:rPr>
          <w:rFonts w:ascii="Times" w:eastAsia="Times New Roman" w:hAnsi="Times" w:cs="Times New Roman"/>
          <w:sz w:val="20"/>
          <w:szCs w:val="20"/>
        </w:rPr>
        <w:t xml:space="preserve"> </w:t>
      </w:r>
      <w:r w:rsidRPr="00E14189">
        <w:rPr>
          <w:rFonts w:ascii="Times" w:eastAsia="Times New Roman" w:hAnsi="Times" w:cs="Times New Roman"/>
          <w:i/>
          <w:iCs/>
          <w:sz w:val="20"/>
          <w:szCs w:val="20"/>
        </w:rPr>
        <w:t>London Borough Council</w:t>
      </w:r>
      <w:r w:rsidRPr="00E14189">
        <w:rPr>
          <w:rFonts w:ascii="Times" w:eastAsia="Times New Roman" w:hAnsi="Times" w:cs="Times New Roman"/>
          <w:sz w:val="20"/>
          <w:szCs w:val="20"/>
        </w:rPr>
        <w:t xml:space="preserve"> </w:t>
      </w:r>
      <w:hyperlink r:id="rId11" w:tooltip="Link to BAILII version" w:history="1">
        <w:r w:rsidRPr="00E14189">
          <w:rPr>
            <w:rFonts w:ascii="Times" w:eastAsia="Times New Roman" w:hAnsi="Times" w:cs="Times New Roman"/>
            <w:color w:val="0000FF"/>
            <w:sz w:val="20"/>
            <w:szCs w:val="20"/>
            <w:u w:val="single"/>
          </w:rPr>
          <w:t>[2009] UKSC 8</w:t>
        </w:r>
      </w:hyperlink>
      <w:r w:rsidRPr="00E14189">
        <w:rPr>
          <w:rFonts w:ascii="Times" w:eastAsia="Times New Roman" w:hAnsi="Times" w:cs="Times New Roman"/>
          <w:sz w:val="20"/>
          <w:szCs w:val="20"/>
        </w:rPr>
        <w:t xml:space="preserve">; </w:t>
      </w:r>
      <w:hyperlink r:id="rId12" w:tooltip="Link to BAILII version" w:history="1">
        <w:r w:rsidRPr="00E14189">
          <w:rPr>
            <w:rFonts w:ascii="Times" w:eastAsia="Times New Roman" w:hAnsi="Times" w:cs="Times New Roman"/>
            <w:color w:val="0000FF"/>
            <w:sz w:val="20"/>
            <w:szCs w:val="20"/>
            <w:u w:val="single"/>
          </w:rPr>
          <w:t>[2009] 1 WLR 2557</w:t>
        </w:r>
      </w:hyperlink>
      <w:r w:rsidRPr="00E14189">
        <w:rPr>
          <w:rFonts w:ascii="Times" w:eastAsia="Times New Roman" w:hAnsi="Times" w:cs="Times New Roman"/>
          <w:sz w:val="20"/>
          <w:szCs w:val="20"/>
        </w:rPr>
        <w:t>, per Lady Hale at para 27:</w:t>
      </w:r>
    </w:p>
    <w:p w:rsidR="00E14189" w:rsidRPr="00E14189" w:rsidRDefault="00E14189" w:rsidP="00E14189">
      <w:pPr>
        <w:rPr>
          <w:rFonts w:ascii="Times" w:eastAsia="Times New Roman" w:hAnsi="Times" w:cs="Times New Roman"/>
          <w:sz w:val="20"/>
          <w:szCs w:val="20"/>
        </w:rPr>
      </w:pPr>
      <w:proofErr w:type="gramStart"/>
      <w:r w:rsidRPr="00E14189">
        <w:rPr>
          <w:rFonts w:ascii="Times" w:eastAsia="Times New Roman" w:hAnsi="Times" w:cs="Times New Roman"/>
          <w:sz w:val="20"/>
          <w:szCs w:val="20"/>
        </w:rPr>
        <w:t>'… the question whether a person is a 'child' is a different kind of question</w:t>
      </w:r>
      <w:proofErr w:type="gramEnd"/>
      <w:r w:rsidRPr="00E14189">
        <w:rPr>
          <w:rFonts w:ascii="Times" w:eastAsia="Times New Roman" w:hAnsi="Times" w:cs="Times New Roman"/>
          <w:sz w:val="20"/>
          <w:szCs w:val="20"/>
        </w:rPr>
        <w:t xml:space="preserve">. There is a right or a wrong answer. It may be difficult to determine what that answer </w:t>
      </w:r>
      <w:proofErr w:type="gramStart"/>
      <w:r w:rsidRPr="00E14189">
        <w:rPr>
          <w:rFonts w:ascii="Times" w:eastAsia="Times New Roman" w:hAnsi="Times" w:cs="Times New Roman"/>
          <w:sz w:val="20"/>
          <w:szCs w:val="20"/>
        </w:rPr>
        <w:t>is.</w:t>
      </w:r>
      <w:proofErr w:type="gramEnd"/>
      <w:r w:rsidRPr="00E14189">
        <w:rPr>
          <w:rFonts w:ascii="Times" w:eastAsia="Times New Roman" w:hAnsi="Times" w:cs="Times New Roman"/>
          <w:sz w:val="20"/>
          <w:szCs w:val="20"/>
        </w:rPr>
        <w:t xml:space="preserve"> The decision makers may have to do their best on the basis of less than perfect or conclusive evidence. </w:t>
      </w:r>
      <w:proofErr w:type="gramStart"/>
      <w:r w:rsidRPr="00E14189">
        <w:rPr>
          <w:rFonts w:ascii="Times" w:eastAsia="Times New Roman" w:hAnsi="Times" w:cs="Times New Roman"/>
          <w:sz w:val="20"/>
          <w:szCs w:val="20"/>
        </w:rPr>
        <w:t>But that is true of many questions of fact which regularly come before the courts</w:t>
      </w:r>
      <w:proofErr w:type="gramEnd"/>
      <w:r w:rsidRPr="00E14189">
        <w:rPr>
          <w:rFonts w:ascii="Times" w:eastAsia="Times New Roman" w:hAnsi="Times" w:cs="Times New Roman"/>
          <w:sz w:val="20"/>
          <w:szCs w:val="20"/>
        </w:rPr>
        <w:t xml:space="preserve">. </w:t>
      </w:r>
      <w:proofErr w:type="gramStart"/>
      <w:r w:rsidRPr="00E14189">
        <w:rPr>
          <w:rFonts w:ascii="Times" w:eastAsia="Times New Roman" w:hAnsi="Times" w:cs="Times New Roman"/>
          <w:sz w:val="20"/>
          <w:szCs w:val="20"/>
        </w:rPr>
        <w:t>That does not prevent them from being questions for the courts rather than for other kinds of decision makers.'</w:t>
      </w:r>
      <w:proofErr w:type="gramEnd"/>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sz w:val="20"/>
          <w:szCs w:val="20"/>
        </w:rPr>
        <w:t>130 My conclusion is that, by failing to have regard to the need to safeguard and promote his welfare as a child, the immigration officers erred in law, rendering the decision to detain unlawful.</w:t>
      </w:r>
      <w:proofErr w:type="gramStart"/>
      <w:r w:rsidRPr="00E14189">
        <w:rPr>
          <w:rFonts w:ascii="Times" w:eastAsia="Times New Roman" w:hAnsi="Times" w:cs="Times New Roman"/>
          <w:sz w:val="20"/>
          <w:szCs w:val="20"/>
        </w:rPr>
        <w:t>"</w:t>
      </w:r>
      <w:proofErr w:type="gramEnd"/>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39" w:name="para39"/>
      <w:proofErr w:type="gramEnd"/>
      <w:r w:rsidRPr="00E14189">
        <w:rPr>
          <w:rFonts w:ascii="Times" w:eastAsia="Times New Roman" w:hAnsi="Times" w:cs="Times New Roman"/>
          <w:sz w:val="20"/>
          <w:szCs w:val="20"/>
        </w:rPr>
        <w:t xml:space="preserve">The Court of Appeal in the present case distinguished </w:t>
      </w:r>
      <w:r w:rsidRPr="00E14189">
        <w:rPr>
          <w:rFonts w:ascii="Times" w:eastAsia="Times New Roman" w:hAnsi="Times" w:cs="Times New Roman"/>
          <w:i/>
          <w:iCs/>
          <w:sz w:val="20"/>
          <w:szCs w:val="20"/>
        </w:rPr>
        <w:t>Croydon</w:t>
      </w:r>
      <w:r w:rsidRPr="00E14189">
        <w:rPr>
          <w:rFonts w:ascii="Times" w:eastAsia="Times New Roman" w:hAnsi="Times" w:cs="Times New Roman"/>
          <w:sz w:val="20"/>
          <w:szCs w:val="20"/>
        </w:rPr>
        <w:t xml:space="preserve"> and </w:t>
      </w:r>
      <w:r w:rsidRPr="00E14189">
        <w:rPr>
          <w:rFonts w:ascii="Times" w:eastAsia="Times New Roman" w:hAnsi="Times" w:cs="Times New Roman"/>
          <w:i/>
          <w:iCs/>
          <w:sz w:val="20"/>
          <w:szCs w:val="20"/>
        </w:rPr>
        <w:t>AAM</w:t>
      </w:r>
      <w:r w:rsidRPr="00E14189">
        <w:rPr>
          <w:rFonts w:ascii="Times" w:eastAsia="Times New Roman" w:hAnsi="Times" w:cs="Times New Roman"/>
          <w:sz w:val="20"/>
          <w:szCs w:val="20"/>
        </w:rPr>
        <w:t xml:space="preserve">. Arden LJ emphasised that in this case prior to the appellant's detention there had been not only an assessment by Hampshire but a determination by an immigration judge that he was aged over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The decision to detain was lawfully made under paragraph </w:t>
      </w:r>
      <w:proofErr w:type="gramStart"/>
      <w:r w:rsidRPr="00E14189">
        <w:rPr>
          <w:rFonts w:ascii="Times" w:eastAsia="Times New Roman" w:hAnsi="Times" w:cs="Times New Roman"/>
          <w:sz w:val="20"/>
          <w:szCs w:val="20"/>
        </w:rPr>
        <w:t>16</w:t>
      </w:r>
      <w:proofErr w:type="gramEnd"/>
      <w:r w:rsidRPr="00E14189">
        <w:rPr>
          <w:rFonts w:ascii="Times" w:eastAsia="Times New Roman" w:hAnsi="Times" w:cs="Times New Roman"/>
          <w:sz w:val="20"/>
          <w:szCs w:val="20"/>
        </w:rPr>
        <w:t xml:space="preserve"> and was not rendered retrospectively unlawful by the later evidence, accepted by the Secretary of State, that he was in fact under 18. </w:t>
      </w:r>
      <w:bookmarkEnd w:id="39"/>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i/>
          <w:iCs/>
          <w:sz w:val="20"/>
          <w:szCs w:val="20"/>
        </w:rPr>
        <w:t>Discussion</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40" w:name="para40"/>
      <w:proofErr w:type="gramEnd"/>
      <w:r w:rsidRPr="00E14189">
        <w:rPr>
          <w:rFonts w:ascii="Times" w:eastAsia="Times New Roman" w:hAnsi="Times" w:cs="Times New Roman"/>
          <w:sz w:val="20"/>
          <w:szCs w:val="20"/>
        </w:rPr>
        <w:t xml:space="preserve">From ancient times the common law provided two remedies for a person who was unlawfully detained – a writ of habeas corpus to obtain his release and a writ of trespass to the person (one form of which is false imprisonment) to obtain compensation. </w:t>
      </w:r>
      <w:bookmarkEnd w:id="40"/>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41" w:name="para41"/>
      <w:proofErr w:type="gramEnd"/>
      <w:r w:rsidRPr="00E14189">
        <w:rPr>
          <w:rFonts w:ascii="Times" w:eastAsia="Times New Roman" w:hAnsi="Times" w:cs="Times New Roman"/>
          <w:sz w:val="20"/>
          <w:szCs w:val="20"/>
        </w:rPr>
        <w:t xml:space="preserve">The burden is on the person detaining another to justify the grounds of detention, and liability for false imprisonment is strict. Reasonable belief </w:t>
      </w:r>
      <w:proofErr w:type="gramStart"/>
      <w:r w:rsidRPr="00E14189">
        <w:rPr>
          <w:rFonts w:ascii="Times" w:eastAsia="Times New Roman" w:hAnsi="Times" w:cs="Times New Roman"/>
          <w:sz w:val="20"/>
          <w:szCs w:val="20"/>
        </w:rPr>
        <w:t>in a</w:t>
      </w:r>
      <w:proofErr w:type="gramEnd"/>
      <w:r w:rsidRPr="00E14189">
        <w:rPr>
          <w:rFonts w:ascii="Times" w:eastAsia="Times New Roman" w:hAnsi="Times" w:cs="Times New Roman"/>
          <w:sz w:val="20"/>
          <w:szCs w:val="20"/>
        </w:rPr>
        <w:t xml:space="preserve"> power to detain is not ordinarily a defence at common law, although there are various examples of statutory powers to detain on reasonable suspicion of certain matters (for example, the power of a police officer to detain a person who he reasonably suspects of having committed an arrestable offence). </w:t>
      </w:r>
      <w:bookmarkEnd w:id="41"/>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r w:rsidRPr="00E14189">
        <w:rPr>
          <w:rFonts w:ascii="Times" w:eastAsia="Times New Roman" w:hAnsi="Times" w:cs="Times New Roman"/>
          <w:sz w:val="20"/>
          <w:szCs w:val="20"/>
        </w:rPr>
        <w:t xml:space="preserve">  </w:t>
      </w:r>
      <w:bookmarkStart w:id="42" w:name="para42"/>
      <w:r w:rsidRPr="00E14189">
        <w:rPr>
          <w:rFonts w:ascii="Times" w:eastAsia="Times New Roman" w:hAnsi="Times" w:cs="Times New Roman"/>
          <w:sz w:val="20"/>
          <w:szCs w:val="20"/>
        </w:rPr>
        <w:t xml:space="preserve">With rare exceptions (the most notorious example being the decision of the majority of the House of Lords in </w:t>
      </w:r>
      <w:r w:rsidRPr="00E14189">
        <w:rPr>
          <w:rFonts w:ascii="Times" w:eastAsia="Times New Roman" w:hAnsi="Times" w:cs="Times New Roman"/>
          <w:i/>
          <w:iCs/>
          <w:sz w:val="20"/>
          <w:szCs w:val="20"/>
        </w:rPr>
        <w:t>Liversidge v Anderson</w:t>
      </w:r>
      <w:r w:rsidRPr="00E14189">
        <w:rPr>
          <w:rFonts w:ascii="Times" w:eastAsia="Times New Roman" w:hAnsi="Times" w:cs="Times New Roman"/>
          <w:sz w:val="20"/>
          <w:szCs w:val="20"/>
        </w:rPr>
        <w:t xml:space="preserve"> </w:t>
      </w:r>
      <w:bookmarkEnd w:id="42"/>
      <w:r w:rsidRPr="00E14189">
        <w:rPr>
          <w:rFonts w:ascii="Times" w:eastAsia="Times New Roman" w:hAnsi="Times" w:cs="Times New Roman"/>
          <w:sz w:val="20"/>
          <w:szCs w:val="20"/>
        </w:rPr>
        <w:fldChar w:fldCharType="begin"/>
      </w:r>
      <w:r w:rsidRPr="00E14189">
        <w:rPr>
          <w:rFonts w:ascii="Times" w:eastAsia="Times New Roman" w:hAnsi="Times" w:cs="Times New Roman"/>
          <w:sz w:val="20"/>
          <w:szCs w:val="20"/>
        </w:rPr>
        <w:instrText xml:space="preserve"> HYPERLINK "http://www.bailii.org/cgi-bin/redirect.cgi?path=/uk/cases/UKHL/1941/1.html" \o "Link to BAILII version" </w:instrText>
      </w:r>
      <w:r w:rsidRPr="00E14189">
        <w:rPr>
          <w:rFonts w:ascii="Times" w:eastAsia="Times New Roman" w:hAnsi="Times" w:cs="Times New Roman"/>
          <w:sz w:val="20"/>
          <w:szCs w:val="20"/>
        </w:rPr>
      </w:r>
      <w:r w:rsidRPr="00E14189">
        <w:rPr>
          <w:rFonts w:ascii="Times" w:eastAsia="Times New Roman" w:hAnsi="Times" w:cs="Times New Roman"/>
          <w:sz w:val="20"/>
          <w:szCs w:val="20"/>
        </w:rPr>
        <w:fldChar w:fldCharType="separate"/>
      </w:r>
      <w:r w:rsidRPr="00E14189">
        <w:rPr>
          <w:rFonts w:ascii="Times" w:eastAsia="Times New Roman" w:hAnsi="Times" w:cs="Times New Roman"/>
          <w:color w:val="0000FF"/>
          <w:sz w:val="20"/>
          <w:szCs w:val="20"/>
          <w:u w:val="single"/>
        </w:rPr>
        <w:t>[1942] AC 206</w:t>
      </w:r>
      <w:r w:rsidRPr="00E14189">
        <w:rPr>
          <w:rFonts w:ascii="Times" w:eastAsia="Times New Roman" w:hAnsi="Times" w:cs="Times New Roman"/>
          <w:sz w:val="20"/>
          <w:szCs w:val="20"/>
        </w:rPr>
        <w:fldChar w:fldCharType="end"/>
      </w:r>
      <w:r w:rsidRPr="00E14189">
        <w:rPr>
          <w:rFonts w:ascii="Times" w:eastAsia="Times New Roman" w:hAnsi="Times" w:cs="Times New Roman"/>
          <w:sz w:val="20"/>
          <w:szCs w:val="20"/>
        </w:rPr>
        <w:t xml:space="preserve">), the courts have looked with strictness on statutory powers of executive detention. </w:t>
      </w:r>
      <w:proofErr w:type="gramStart"/>
      <w:r w:rsidRPr="00E14189">
        <w:rPr>
          <w:rFonts w:ascii="Times" w:eastAsia="Times New Roman" w:hAnsi="Times" w:cs="Times New Roman"/>
          <w:sz w:val="20"/>
          <w:szCs w:val="20"/>
        </w:rPr>
        <w:t>These principles are all too well established to require citation of authorities</w:t>
      </w:r>
      <w:proofErr w:type="gramEnd"/>
      <w:r w:rsidRPr="00E14189">
        <w:rPr>
          <w:rFonts w:ascii="Times" w:eastAsia="Times New Roman" w:hAnsi="Times" w:cs="Times New Roman"/>
          <w:sz w:val="20"/>
          <w:szCs w:val="20"/>
        </w:rPr>
        <w:t xml:space="preserve">.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43" w:name="para43"/>
      <w:proofErr w:type="gramEnd"/>
      <w:r w:rsidRPr="00E14189">
        <w:rPr>
          <w:rFonts w:ascii="Times" w:eastAsia="Times New Roman" w:hAnsi="Times" w:cs="Times New Roman"/>
          <w:sz w:val="20"/>
          <w:szCs w:val="20"/>
        </w:rPr>
        <w:t xml:space="preserve">In the present case the Secretary of State relies for justification of the appellant's detention from 7 to 20 July 2010 on the statutory power of detention created by paragraph 16. There is no dispute that the appellant came within that paragraph, but the appellant contends that the decision to detain him was unlawful because it was made in breach of section </w:t>
      </w:r>
      <w:proofErr w:type="gramStart"/>
      <w:r w:rsidRPr="00E14189">
        <w:rPr>
          <w:rFonts w:ascii="Times" w:eastAsia="Times New Roman" w:hAnsi="Times" w:cs="Times New Roman"/>
          <w:sz w:val="20"/>
          <w:szCs w:val="20"/>
        </w:rPr>
        <w:t>55</w:t>
      </w:r>
      <w:proofErr w:type="gramEnd"/>
      <w:r w:rsidRPr="00E14189">
        <w:rPr>
          <w:rFonts w:ascii="Times" w:eastAsia="Times New Roman" w:hAnsi="Times" w:cs="Times New Roman"/>
          <w:sz w:val="20"/>
          <w:szCs w:val="20"/>
        </w:rPr>
        <w:t xml:space="preserve">. </w:t>
      </w:r>
      <w:bookmarkEnd w:id="43"/>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r w:rsidRPr="00E14189">
        <w:rPr>
          <w:rFonts w:ascii="Times" w:eastAsia="Times New Roman" w:hAnsi="Times" w:cs="Times New Roman"/>
          <w:sz w:val="20"/>
          <w:szCs w:val="20"/>
        </w:rPr>
        <w:t xml:space="preserve">  </w:t>
      </w:r>
      <w:bookmarkStart w:id="44" w:name="para44"/>
      <w:r w:rsidRPr="00E14189">
        <w:rPr>
          <w:rFonts w:ascii="Times" w:eastAsia="Times New Roman" w:hAnsi="Times" w:cs="Times New Roman"/>
          <w:sz w:val="20"/>
          <w:szCs w:val="20"/>
        </w:rPr>
        <w:t xml:space="preserve">I accept that if there was a material breach of section 55, it would make the detention unlawful: </w:t>
      </w:r>
      <w:r w:rsidRPr="00E14189">
        <w:rPr>
          <w:rFonts w:ascii="Times" w:eastAsia="Times New Roman" w:hAnsi="Times" w:cs="Times New Roman"/>
          <w:i/>
          <w:iCs/>
          <w:sz w:val="20"/>
          <w:szCs w:val="20"/>
        </w:rPr>
        <w:t xml:space="preserve">R (Lumba) v Secretary of State for the Home Department </w:t>
      </w:r>
      <w:bookmarkEnd w:id="44"/>
      <w:r w:rsidRPr="00E14189">
        <w:rPr>
          <w:rFonts w:ascii="Times" w:eastAsia="Times New Roman" w:hAnsi="Times" w:cs="Times New Roman"/>
          <w:sz w:val="20"/>
          <w:szCs w:val="20"/>
        </w:rPr>
        <w:fldChar w:fldCharType="begin"/>
      </w:r>
      <w:r w:rsidRPr="00E14189">
        <w:rPr>
          <w:rFonts w:ascii="Times" w:eastAsia="Times New Roman" w:hAnsi="Times" w:cs="Times New Roman"/>
          <w:sz w:val="20"/>
          <w:szCs w:val="20"/>
        </w:rPr>
        <w:instrText xml:space="preserve"> HYPERLINK "http://www.bailii.org/uk/cases/UKSC/2011/12.html" \o "Link to BAILII version" </w:instrText>
      </w:r>
      <w:r w:rsidRPr="00E14189">
        <w:rPr>
          <w:rFonts w:ascii="Times" w:eastAsia="Times New Roman" w:hAnsi="Times" w:cs="Times New Roman"/>
          <w:sz w:val="20"/>
          <w:szCs w:val="20"/>
        </w:rPr>
      </w:r>
      <w:r w:rsidRPr="00E14189">
        <w:rPr>
          <w:rFonts w:ascii="Times" w:eastAsia="Times New Roman" w:hAnsi="Times" w:cs="Times New Roman"/>
          <w:sz w:val="20"/>
          <w:szCs w:val="20"/>
        </w:rPr>
        <w:fldChar w:fldCharType="separate"/>
      </w:r>
      <w:r w:rsidRPr="00E14189">
        <w:rPr>
          <w:rFonts w:ascii="Times" w:eastAsia="Times New Roman" w:hAnsi="Times" w:cs="Times New Roman"/>
          <w:color w:val="0000FF"/>
          <w:sz w:val="20"/>
          <w:szCs w:val="20"/>
          <w:u w:val="single"/>
        </w:rPr>
        <w:t>[2011] UKSC 12</w:t>
      </w:r>
      <w:r w:rsidRPr="00E14189">
        <w:rPr>
          <w:rFonts w:ascii="Times" w:eastAsia="Times New Roman" w:hAnsi="Times" w:cs="Times New Roman"/>
          <w:sz w:val="20"/>
          <w:szCs w:val="20"/>
        </w:rPr>
        <w:fldChar w:fldCharType="end"/>
      </w:r>
      <w:r w:rsidRPr="00E14189">
        <w:rPr>
          <w:rFonts w:ascii="Times" w:eastAsia="Times New Roman" w:hAnsi="Times" w:cs="Times New Roman"/>
          <w:sz w:val="20"/>
          <w:szCs w:val="20"/>
        </w:rPr>
        <w:t xml:space="preserve">, </w:t>
      </w:r>
      <w:hyperlink r:id="rId13" w:tooltip="Link to BAILII version" w:history="1">
        <w:r w:rsidRPr="00E14189">
          <w:rPr>
            <w:rFonts w:ascii="Times" w:eastAsia="Times New Roman" w:hAnsi="Times" w:cs="Times New Roman"/>
            <w:color w:val="0000FF"/>
            <w:sz w:val="20"/>
            <w:szCs w:val="20"/>
            <w:u w:val="single"/>
          </w:rPr>
          <w:t>[2012] 1 AC 245</w:t>
        </w:r>
      </w:hyperlink>
      <w:r w:rsidRPr="00E14189">
        <w:rPr>
          <w:rFonts w:ascii="Times" w:eastAsia="Times New Roman" w:hAnsi="Times" w:cs="Times New Roman"/>
          <w:sz w:val="20"/>
          <w:szCs w:val="20"/>
        </w:rPr>
        <w:t xml:space="preserve">. So the question is whether there was a material breach of section </w:t>
      </w:r>
      <w:proofErr w:type="gramStart"/>
      <w:r w:rsidRPr="00E14189">
        <w:rPr>
          <w:rFonts w:ascii="Times" w:eastAsia="Times New Roman" w:hAnsi="Times" w:cs="Times New Roman"/>
          <w:sz w:val="20"/>
          <w:szCs w:val="20"/>
        </w:rPr>
        <w:t>55</w:t>
      </w:r>
      <w:proofErr w:type="gramEnd"/>
      <w:r w:rsidRPr="00E14189">
        <w:rPr>
          <w:rFonts w:ascii="Times" w:eastAsia="Times New Roman" w:hAnsi="Times" w:cs="Times New Roman"/>
          <w:sz w:val="20"/>
          <w:szCs w:val="20"/>
        </w:rPr>
        <w:t xml:space="preserve">. Essentially that involves a short question of construction.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45" w:name="para45"/>
      <w:proofErr w:type="gramEnd"/>
      <w:r w:rsidRPr="00E14189">
        <w:rPr>
          <w:rFonts w:ascii="Times" w:eastAsia="Times New Roman" w:hAnsi="Times" w:cs="Times New Roman"/>
          <w:sz w:val="20"/>
          <w:szCs w:val="20"/>
        </w:rPr>
        <w:t>Mr Stephen Knafler QC submits that section 55 should be read in a similar fashion to section 20 of the Children Act 1989. Children are defined in section 55</w:t>
      </w:r>
      <w:proofErr w:type="gramStart"/>
      <w:r w:rsidRPr="00E14189">
        <w:rPr>
          <w:rFonts w:ascii="Times" w:eastAsia="Times New Roman" w:hAnsi="Times" w:cs="Times New Roman"/>
          <w:sz w:val="20"/>
          <w:szCs w:val="20"/>
        </w:rPr>
        <w:t>(</w:t>
      </w:r>
      <w:proofErr w:type="gramEnd"/>
      <w:r w:rsidRPr="00E14189">
        <w:rPr>
          <w:rFonts w:ascii="Times" w:eastAsia="Times New Roman" w:hAnsi="Times" w:cs="Times New Roman"/>
          <w:sz w:val="20"/>
          <w:szCs w:val="20"/>
        </w:rPr>
        <w:t xml:space="preserve">6) as persons who are under the age of 18. That is a pure question of fact. The duty is to ensure that in </w:t>
      </w:r>
      <w:proofErr w:type="gramStart"/>
      <w:r w:rsidRPr="00E14189">
        <w:rPr>
          <w:rFonts w:ascii="Times" w:eastAsia="Times New Roman" w:hAnsi="Times" w:cs="Times New Roman"/>
          <w:sz w:val="20"/>
          <w:szCs w:val="20"/>
        </w:rPr>
        <w:t>the case</w:t>
      </w:r>
      <w:proofErr w:type="gramEnd"/>
      <w:r w:rsidRPr="00E14189">
        <w:rPr>
          <w:rFonts w:ascii="Times" w:eastAsia="Times New Roman" w:hAnsi="Times" w:cs="Times New Roman"/>
          <w:sz w:val="20"/>
          <w:szCs w:val="20"/>
        </w:rPr>
        <w:t xml:space="preserve"> of every person who is in fact a child, the functions of the Secretary of State and immigration officers under the Immigration Acts are discharged having regard to the need to safeguard and promote the welfare of the individual child. </w:t>
      </w:r>
      <w:proofErr w:type="gramStart"/>
      <w:r w:rsidRPr="00E14189">
        <w:rPr>
          <w:rFonts w:ascii="Times" w:eastAsia="Times New Roman" w:hAnsi="Times" w:cs="Times New Roman"/>
          <w:sz w:val="20"/>
          <w:szCs w:val="20"/>
        </w:rPr>
        <w:t>In the present case the welfare of the appellant was not taken into account</w:t>
      </w:r>
      <w:proofErr w:type="gramEnd"/>
      <w:r w:rsidRPr="00E14189">
        <w:rPr>
          <w:rFonts w:ascii="Times" w:eastAsia="Times New Roman" w:hAnsi="Times" w:cs="Times New Roman"/>
          <w:sz w:val="20"/>
          <w:szCs w:val="20"/>
        </w:rPr>
        <w:t xml:space="preserve">. Therefore there was a breach of the section. Mr Knafler reinforces his argument by reference to article </w:t>
      </w:r>
      <w:proofErr w:type="gramStart"/>
      <w:r w:rsidRPr="00E14189">
        <w:rPr>
          <w:rFonts w:ascii="Times" w:eastAsia="Times New Roman" w:hAnsi="Times" w:cs="Times New Roman"/>
          <w:sz w:val="20"/>
          <w:szCs w:val="20"/>
        </w:rPr>
        <w:t>5</w:t>
      </w:r>
      <w:proofErr w:type="gramEnd"/>
      <w:r w:rsidRPr="00E14189">
        <w:rPr>
          <w:rFonts w:ascii="Times" w:eastAsia="Times New Roman" w:hAnsi="Times" w:cs="Times New Roman"/>
          <w:sz w:val="20"/>
          <w:szCs w:val="20"/>
        </w:rPr>
        <w:t xml:space="preserve"> of the European Convention, the UNCRC and other conventions identified in Every Child Matters, and to the emphasis placed in domestic law on the importance of the courts maintaining responsibility for determining jurisdictional questions affecting the power of the executive to detain an individual. </w:t>
      </w:r>
      <w:bookmarkEnd w:id="45"/>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46" w:name="para46"/>
      <w:proofErr w:type="gramEnd"/>
      <w:r w:rsidRPr="00E14189">
        <w:rPr>
          <w:rFonts w:ascii="Times" w:eastAsia="Times New Roman" w:hAnsi="Times" w:cs="Times New Roman"/>
          <w:sz w:val="20"/>
          <w:szCs w:val="20"/>
        </w:rPr>
        <w:t xml:space="preserve">Section 55 of the 2009 Act and section 20 of the Children Act 1989 contain the same definition of children, but their structure and language are very different. Under section </w:t>
      </w:r>
      <w:proofErr w:type="gramStart"/>
      <w:r w:rsidRPr="00E14189">
        <w:rPr>
          <w:rFonts w:ascii="Times" w:eastAsia="Times New Roman" w:hAnsi="Times" w:cs="Times New Roman"/>
          <w:sz w:val="20"/>
          <w:szCs w:val="20"/>
        </w:rPr>
        <w:t>55</w:t>
      </w:r>
      <w:proofErr w:type="gramEnd"/>
      <w:r w:rsidRPr="00E14189">
        <w:rPr>
          <w:rFonts w:ascii="Times" w:eastAsia="Times New Roman" w:hAnsi="Times" w:cs="Times New Roman"/>
          <w:sz w:val="20"/>
          <w:szCs w:val="20"/>
        </w:rPr>
        <w:t xml:space="preserve"> the Secretary of State has a direct and a vicarious responsibility. She has a direct responsibility under section 55</w:t>
      </w:r>
      <w:proofErr w:type="gramStart"/>
      <w:r w:rsidRPr="00E14189">
        <w:rPr>
          <w:rFonts w:ascii="Times" w:eastAsia="Times New Roman" w:hAnsi="Times" w:cs="Times New Roman"/>
          <w:sz w:val="20"/>
          <w:szCs w:val="20"/>
        </w:rPr>
        <w:t>(</w:t>
      </w:r>
      <w:proofErr w:type="gramEnd"/>
      <w:r w:rsidRPr="00E14189">
        <w:rPr>
          <w:rFonts w:ascii="Times" w:eastAsia="Times New Roman" w:hAnsi="Times" w:cs="Times New Roman"/>
          <w:sz w:val="20"/>
          <w:szCs w:val="20"/>
        </w:rPr>
        <w:t xml:space="preserve">1) for making arrangements for a specified purpose. The purpose is to see that immigration functions are discharged </w:t>
      </w:r>
      <w:proofErr w:type="gramStart"/>
      <w:r w:rsidRPr="00E14189">
        <w:rPr>
          <w:rFonts w:ascii="Times" w:eastAsia="Times New Roman" w:hAnsi="Times" w:cs="Times New Roman"/>
          <w:sz w:val="20"/>
          <w:szCs w:val="20"/>
        </w:rPr>
        <w:t>in a</w:t>
      </w:r>
      <w:proofErr w:type="gramEnd"/>
      <w:r w:rsidRPr="00E14189">
        <w:rPr>
          <w:rFonts w:ascii="Times" w:eastAsia="Times New Roman" w:hAnsi="Times" w:cs="Times New Roman"/>
          <w:sz w:val="20"/>
          <w:szCs w:val="20"/>
        </w:rPr>
        <w:t xml:space="preserve"> way which has regard to the need to safeguard and promote the welfare of children ("the welfare principle"). She has a vicarious responsibility, by reason of section 55</w:t>
      </w:r>
      <w:proofErr w:type="gramStart"/>
      <w:r w:rsidRPr="00E14189">
        <w:rPr>
          <w:rFonts w:ascii="Times" w:eastAsia="Times New Roman" w:hAnsi="Times" w:cs="Times New Roman"/>
          <w:sz w:val="20"/>
          <w:szCs w:val="20"/>
        </w:rPr>
        <w:t>(</w:t>
      </w:r>
      <w:proofErr w:type="gramEnd"/>
      <w:r w:rsidRPr="00E14189">
        <w:rPr>
          <w:rFonts w:ascii="Times" w:eastAsia="Times New Roman" w:hAnsi="Times" w:cs="Times New Roman"/>
          <w:sz w:val="20"/>
          <w:szCs w:val="20"/>
        </w:rPr>
        <w:t xml:space="preserve">3), for any failure by an immigration officer (or other person exercising the Secretary of State's functions) to have regard to the guidance given by the Secretary of State or to the welfare principle. </w:t>
      </w:r>
      <w:bookmarkEnd w:id="46"/>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47" w:name="para47"/>
      <w:proofErr w:type="gramEnd"/>
      <w:r w:rsidRPr="00E14189">
        <w:rPr>
          <w:rFonts w:ascii="Times" w:eastAsia="Times New Roman" w:hAnsi="Times" w:cs="Times New Roman"/>
          <w:sz w:val="20"/>
          <w:szCs w:val="20"/>
        </w:rPr>
        <w:t xml:space="preserve">In order to safeguard and promote the welfare of children the Secretary of State has to establish proper systems for arriving at a reliable assessment of a person's age. That is not an easy matter, as experience shows. The arrangements made by the Secretary </w:t>
      </w:r>
      <w:proofErr w:type="gramStart"/>
      <w:r w:rsidRPr="00E14189">
        <w:rPr>
          <w:rFonts w:ascii="Times" w:eastAsia="Times New Roman" w:hAnsi="Times" w:cs="Times New Roman"/>
          <w:sz w:val="20"/>
          <w:szCs w:val="20"/>
        </w:rPr>
        <w:t>of</w:t>
      </w:r>
      <w:proofErr w:type="gramEnd"/>
      <w:r w:rsidRPr="00E14189">
        <w:rPr>
          <w:rFonts w:ascii="Times" w:eastAsia="Times New Roman" w:hAnsi="Times" w:cs="Times New Roman"/>
          <w:sz w:val="20"/>
          <w:szCs w:val="20"/>
        </w:rPr>
        <w:t xml:space="preserve"> State under section 55 include the published policies referred to above: Every Child Matters, EIG 59.9.3.1 and Assessing Age. </w:t>
      </w:r>
      <w:bookmarkEnd w:id="47"/>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48" w:name="para48"/>
      <w:proofErr w:type="gramEnd"/>
      <w:r w:rsidRPr="00E14189">
        <w:rPr>
          <w:rFonts w:ascii="Times" w:eastAsia="Times New Roman" w:hAnsi="Times" w:cs="Times New Roman"/>
          <w:sz w:val="20"/>
          <w:szCs w:val="20"/>
        </w:rPr>
        <w:t>The instructions in Assessing Age are detailed and careful. In my judgment the guidance complies with the Secretary of State's obligation under section 55</w:t>
      </w:r>
      <w:proofErr w:type="gramStart"/>
      <w:r w:rsidRPr="00E14189">
        <w:rPr>
          <w:rFonts w:ascii="Times" w:eastAsia="Times New Roman" w:hAnsi="Times" w:cs="Times New Roman"/>
          <w:sz w:val="20"/>
          <w:szCs w:val="20"/>
        </w:rPr>
        <w:t>(</w:t>
      </w:r>
      <w:proofErr w:type="gramEnd"/>
      <w:r w:rsidRPr="00E14189">
        <w:rPr>
          <w:rFonts w:ascii="Times" w:eastAsia="Times New Roman" w:hAnsi="Times" w:cs="Times New Roman"/>
          <w:sz w:val="20"/>
          <w:szCs w:val="20"/>
        </w:rPr>
        <w:t xml:space="preserve">1), applying its natural and ordinary meaning. In this respect, the reasoning set out in the passage quoted </w:t>
      </w:r>
      <w:proofErr w:type="gramStart"/>
      <w:r w:rsidRPr="00E14189">
        <w:rPr>
          <w:rFonts w:ascii="Times" w:eastAsia="Times New Roman" w:hAnsi="Times" w:cs="Times New Roman"/>
          <w:sz w:val="20"/>
          <w:szCs w:val="20"/>
        </w:rPr>
        <w:t>at</w:t>
      </w:r>
      <w:proofErr w:type="gramEnd"/>
      <w:r w:rsidRPr="00E14189">
        <w:rPr>
          <w:rFonts w:ascii="Times" w:eastAsia="Times New Roman" w:hAnsi="Times" w:cs="Times New Roman"/>
          <w:sz w:val="20"/>
          <w:szCs w:val="20"/>
        </w:rPr>
        <w:t xml:space="preserve"> para 24 above is persuasive. Further, </w:t>
      </w:r>
      <w:proofErr w:type="gramStart"/>
      <w:r w:rsidRPr="00E14189">
        <w:rPr>
          <w:rFonts w:ascii="Times" w:eastAsia="Times New Roman" w:hAnsi="Times" w:cs="Times New Roman"/>
          <w:sz w:val="20"/>
          <w:szCs w:val="20"/>
        </w:rPr>
        <w:t>on</w:t>
      </w:r>
      <w:proofErr w:type="gramEnd"/>
      <w:r w:rsidRPr="00E14189">
        <w:rPr>
          <w:rFonts w:ascii="Times" w:eastAsia="Times New Roman" w:hAnsi="Times" w:cs="Times New Roman"/>
          <w:sz w:val="20"/>
          <w:szCs w:val="20"/>
        </w:rPr>
        <w:t xml:space="preserve"> the facts of this case there is no basis for finding that there was a failure by any official to follow that guidance. It follows that there was no breach of section </w:t>
      </w:r>
      <w:proofErr w:type="gramStart"/>
      <w:r w:rsidRPr="00E14189">
        <w:rPr>
          <w:rFonts w:ascii="Times" w:eastAsia="Times New Roman" w:hAnsi="Times" w:cs="Times New Roman"/>
          <w:sz w:val="20"/>
          <w:szCs w:val="20"/>
        </w:rPr>
        <w:t>55</w:t>
      </w:r>
      <w:proofErr w:type="gramEnd"/>
      <w:r w:rsidRPr="00E14189">
        <w:rPr>
          <w:rFonts w:ascii="Times" w:eastAsia="Times New Roman" w:hAnsi="Times" w:cs="Times New Roman"/>
          <w:sz w:val="20"/>
          <w:szCs w:val="20"/>
        </w:rPr>
        <w:t xml:space="preserve"> and therefore that the exercise of the detention power under paragraph 16 was not unlawful. </w:t>
      </w:r>
      <w:bookmarkEnd w:id="48"/>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49" w:name="para49"/>
      <w:proofErr w:type="gramEnd"/>
      <w:r w:rsidRPr="00E14189">
        <w:rPr>
          <w:rFonts w:ascii="Times" w:eastAsia="Times New Roman" w:hAnsi="Times" w:cs="Times New Roman"/>
          <w:sz w:val="20"/>
          <w:szCs w:val="20"/>
        </w:rPr>
        <w:t>I have referred to the natural and ordinary meaning of section 55(1). Its wording and structure are very different from section 20</w:t>
      </w:r>
      <w:proofErr w:type="gramStart"/>
      <w:r w:rsidRPr="00E14189">
        <w:rPr>
          <w:rFonts w:ascii="Times" w:eastAsia="Times New Roman" w:hAnsi="Times" w:cs="Times New Roman"/>
          <w:sz w:val="20"/>
          <w:szCs w:val="20"/>
        </w:rPr>
        <w:t>(</w:t>
      </w:r>
      <w:proofErr w:type="gramEnd"/>
      <w:r w:rsidRPr="00E14189">
        <w:rPr>
          <w:rFonts w:ascii="Times" w:eastAsia="Times New Roman" w:hAnsi="Times" w:cs="Times New Roman"/>
          <w:sz w:val="20"/>
          <w:szCs w:val="20"/>
        </w:rPr>
        <w:t xml:space="preserve">1) of the Children Act, as I have said, and I am not persuaded that section 55 should be interpreted in the way for which Mr Knafler contends in order to meet the UK's international obligations or to provide adequately for the welfare principle. In particular, I do not see that the section </w:t>
      </w:r>
      <w:proofErr w:type="gramStart"/>
      <w:r w:rsidRPr="00E14189">
        <w:rPr>
          <w:rFonts w:ascii="Times" w:eastAsia="Times New Roman" w:hAnsi="Times" w:cs="Times New Roman"/>
          <w:sz w:val="20"/>
          <w:szCs w:val="20"/>
        </w:rPr>
        <w:t xml:space="preserve">on </w:t>
      </w:r>
      <w:proofErr w:type="gramEnd"/>
      <w:r w:rsidRPr="00E14189">
        <w:rPr>
          <w:rFonts w:ascii="Times" w:eastAsia="Times New Roman" w:hAnsi="Times" w:cs="Times New Roman"/>
          <w:sz w:val="20"/>
          <w:szCs w:val="20"/>
        </w:rPr>
        <w:t xml:space="preserve">its natural construction is inconsistent with article 5 of the European Convention or article 3 of the UNCRC. </w:t>
      </w:r>
      <w:proofErr w:type="gramStart"/>
      <w:r w:rsidRPr="00E14189">
        <w:rPr>
          <w:rFonts w:ascii="Times" w:eastAsia="Times New Roman" w:hAnsi="Times" w:cs="Times New Roman"/>
          <w:sz w:val="20"/>
          <w:szCs w:val="20"/>
        </w:rPr>
        <w:t xml:space="preserve">The risk of an erroneous assessment can never be entirely eliminated but it can be minimised by a careful process and there are appropriate </w:t>
      </w:r>
      <w:proofErr w:type="gramEnd"/>
      <w:r w:rsidRPr="00E14189">
        <w:rPr>
          <w:rFonts w:ascii="Times" w:eastAsia="Times New Roman" w:hAnsi="Times" w:cs="Times New Roman"/>
          <w:sz w:val="20"/>
          <w:szCs w:val="20"/>
        </w:rPr>
        <w:t xml:space="preserve">safeguards. In addition to the process for making the initial assessment, which includes requiring the benefit of any doubt to be given to the claimant, the Secretary of State is under a continuing obligation to consider </w:t>
      </w:r>
      <w:proofErr w:type="gramStart"/>
      <w:r w:rsidRPr="00E14189">
        <w:rPr>
          <w:rFonts w:ascii="Times" w:eastAsia="Times New Roman" w:hAnsi="Times" w:cs="Times New Roman"/>
          <w:sz w:val="20"/>
          <w:szCs w:val="20"/>
        </w:rPr>
        <w:t>any</w:t>
      </w:r>
      <w:proofErr w:type="gramEnd"/>
      <w:r w:rsidRPr="00E14189">
        <w:rPr>
          <w:rFonts w:ascii="Times" w:eastAsia="Times New Roman" w:hAnsi="Times" w:cs="Times New Roman"/>
          <w:sz w:val="20"/>
          <w:szCs w:val="20"/>
        </w:rPr>
        <w:t xml:space="preserve"> fresh evidence. An age assessment by a local </w:t>
      </w:r>
      <w:proofErr w:type="gramStart"/>
      <w:r w:rsidRPr="00E14189">
        <w:rPr>
          <w:rFonts w:ascii="Times" w:eastAsia="Times New Roman" w:hAnsi="Times" w:cs="Times New Roman"/>
          <w:sz w:val="20"/>
          <w:szCs w:val="20"/>
        </w:rPr>
        <w:t>authority</w:t>
      </w:r>
      <w:proofErr w:type="gramEnd"/>
      <w:r w:rsidRPr="00E14189">
        <w:rPr>
          <w:rFonts w:ascii="Times" w:eastAsia="Times New Roman" w:hAnsi="Times" w:cs="Times New Roman"/>
          <w:sz w:val="20"/>
          <w:szCs w:val="20"/>
        </w:rPr>
        <w:t xml:space="preserve"> can be challenged on judicial review, and the Secretary of State would be bound to give proper respect to the outcome of such proceedings. </w:t>
      </w:r>
      <w:bookmarkEnd w:id="49"/>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0" w:name="para50"/>
      <w:proofErr w:type="gramEnd"/>
      <w:r w:rsidRPr="00E14189">
        <w:rPr>
          <w:rFonts w:ascii="Times" w:eastAsia="Times New Roman" w:hAnsi="Times" w:cs="Times New Roman"/>
          <w:sz w:val="20"/>
          <w:szCs w:val="20"/>
        </w:rPr>
        <w:t xml:space="preserve">The judgment in </w:t>
      </w:r>
      <w:r w:rsidRPr="00E14189">
        <w:rPr>
          <w:rFonts w:ascii="Times" w:eastAsia="Times New Roman" w:hAnsi="Times" w:cs="Times New Roman"/>
          <w:i/>
          <w:iCs/>
          <w:sz w:val="20"/>
          <w:szCs w:val="20"/>
        </w:rPr>
        <w:t>AAM</w:t>
      </w:r>
      <w:r w:rsidRPr="00E14189">
        <w:rPr>
          <w:rFonts w:ascii="Times" w:eastAsia="Times New Roman" w:hAnsi="Times" w:cs="Times New Roman"/>
          <w:sz w:val="20"/>
          <w:szCs w:val="20"/>
        </w:rPr>
        <w:t xml:space="preserve"> was right on the facts as Lang J found them, but if and insofar as her judgment amounted to holding that any detention under paragraph 16 of a child in the mistaken but reasonable belief that he was over 18 would ipso facto involve a breach of section 55, I would disapprove that part of the judgment. </w:t>
      </w:r>
      <w:bookmarkEnd w:id="50"/>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1" w:name="para51"/>
      <w:proofErr w:type="gramEnd"/>
      <w:r w:rsidRPr="00E14189">
        <w:rPr>
          <w:rFonts w:ascii="Times" w:eastAsia="Times New Roman" w:hAnsi="Times" w:cs="Times New Roman"/>
          <w:sz w:val="20"/>
          <w:szCs w:val="20"/>
        </w:rPr>
        <w:t xml:space="preserve">An asylum claimant who gives his age as under 18 is in practice likely also to be a claimant for local authority support under the Children Act. For both purposes there will be an age assessment by the social services department in </w:t>
      </w:r>
      <w:proofErr w:type="gramStart"/>
      <w:r w:rsidRPr="00E14189">
        <w:rPr>
          <w:rFonts w:ascii="Times" w:eastAsia="Times New Roman" w:hAnsi="Times" w:cs="Times New Roman"/>
          <w:sz w:val="20"/>
          <w:szCs w:val="20"/>
        </w:rPr>
        <w:t>any</w:t>
      </w:r>
      <w:proofErr w:type="gramEnd"/>
      <w:r w:rsidRPr="00E14189">
        <w:rPr>
          <w:rFonts w:ascii="Times" w:eastAsia="Times New Roman" w:hAnsi="Times" w:cs="Times New Roman"/>
          <w:sz w:val="20"/>
          <w:szCs w:val="20"/>
        </w:rPr>
        <w:t xml:space="preserve"> case of doubt. If the claimant is assessed as being over </w:t>
      </w:r>
      <w:proofErr w:type="gramStart"/>
      <w:r w:rsidRPr="00E14189">
        <w:rPr>
          <w:rFonts w:ascii="Times" w:eastAsia="Times New Roman" w:hAnsi="Times" w:cs="Times New Roman"/>
          <w:sz w:val="20"/>
          <w:szCs w:val="20"/>
        </w:rPr>
        <w:t>18</w:t>
      </w:r>
      <w:proofErr w:type="gramEnd"/>
      <w:r w:rsidRPr="00E14189">
        <w:rPr>
          <w:rFonts w:ascii="Times" w:eastAsia="Times New Roman" w:hAnsi="Times" w:cs="Times New Roman"/>
          <w:sz w:val="20"/>
          <w:szCs w:val="20"/>
        </w:rPr>
        <w:t xml:space="preserve"> and is also detained under paragraph 16, any legal challenge is likely to be, as in this case, against both the local authority and the Secretary of State. In such a case the court would have jurisdiction under </w:t>
      </w:r>
      <w:r w:rsidRPr="00E14189">
        <w:rPr>
          <w:rFonts w:ascii="Times" w:eastAsia="Times New Roman" w:hAnsi="Times" w:cs="Times New Roman"/>
          <w:i/>
          <w:iCs/>
          <w:sz w:val="20"/>
          <w:szCs w:val="20"/>
        </w:rPr>
        <w:t>Croydon</w:t>
      </w:r>
      <w:r w:rsidRPr="00E14189">
        <w:rPr>
          <w:rFonts w:ascii="Times" w:eastAsia="Times New Roman" w:hAnsi="Times" w:cs="Times New Roman"/>
          <w:sz w:val="20"/>
          <w:szCs w:val="20"/>
        </w:rPr>
        <w:t xml:space="preserve"> to determine the question </w:t>
      </w:r>
      <w:proofErr w:type="gramStart"/>
      <w:r w:rsidRPr="00E14189">
        <w:rPr>
          <w:rFonts w:ascii="Times" w:eastAsia="Times New Roman" w:hAnsi="Times" w:cs="Times New Roman"/>
          <w:sz w:val="20"/>
          <w:szCs w:val="20"/>
        </w:rPr>
        <w:t xml:space="preserve">of </w:t>
      </w:r>
      <w:proofErr w:type="gramEnd"/>
      <w:r w:rsidRPr="00E14189">
        <w:rPr>
          <w:rFonts w:ascii="Times" w:eastAsia="Times New Roman" w:hAnsi="Times" w:cs="Times New Roman"/>
          <w:sz w:val="20"/>
          <w:szCs w:val="20"/>
        </w:rPr>
        <w:t xml:space="preserve">age as a primary fact finder under the Children Act. </w:t>
      </w:r>
      <w:proofErr w:type="gramStart"/>
      <w:r w:rsidRPr="00E14189">
        <w:rPr>
          <w:rFonts w:ascii="Times" w:eastAsia="Times New Roman" w:hAnsi="Times" w:cs="Times New Roman"/>
          <w:sz w:val="20"/>
          <w:szCs w:val="20"/>
        </w:rPr>
        <w:t>Its conclusion – if in the claimant's favour – would obviously affect the Secretary of State's future action under the Immigration Acts</w:t>
      </w:r>
      <w:proofErr w:type="gramEnd"/>
      <w:r w:rsidRPr="00E14189">
        <w:rPr>
          <w:rFonts w:ascii="Times" w:eastAsia="Times New Roman" w:hAnsi="Times" w:cs="Times New Roman"/>
          <w:sz w:val="20"/>
          <w:szCs w:val="20"/>
        </w:rPr>
        <w:t xml:space="preserve">. It would give rise to a new situation and the Secretary of State could no longer properly rely </w:t>
      </w:r>
      <w:proofErr w:type="gramStart"/>
      <w:r w:rsidRPr="00E14189">
        <w:rPr>
          <w:rFonts w:ascii="Times" w:eastAsia="Times New Roman" w:hAnsi="Times" w:cs="Times New Roman"/>
          <w:sz w:val="20"/>
          <w:szCs w:val="20"/>
        </w:rPr>
        <w:t>on</w:t>
      </w:r>
      <w:proofErr w:type="gramEnd"/>
      <w:r w:rsidRPr="00E14189">
        <w:rPr>
          <w:rFonts w:ascii="Times" w:eastAsia="Times New Roman" w:hAnsi="Times" w:cs="Times New Roman"/>
          <w:sz w:val="20"/>
          <w:szCs w:val="20"/>
        </w:rPr>
        <w:t xml:space="preserve"> the accuracy of an age assessment which had been discredited by a judgment of a court. </w:t>
      </w:r>
      <w:bookmarkEnd w:id="51"/>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2" w:name="para52"/>
      <w:proofErr w:type="gramEnd"/>
      <w:r w:rsidRPr="00E14189">
        <w:rPr>
          <w:rFonts w:ascii="Times" w:eastAsia="Times New Roman" w:hAnsi="Times" w:cs="Times New Roman"/>
          <w:sz w:val="20"/>
          <w:szCs w:val="20"/>
        </w:rPr>
        <w:t xml:space="preserve">A question arose in the course of argument about the legal position if the claimant challenged the legality of his detention without directly involving the local authority whose social services team had carried out the age assessment. Would the court be limited to determining whether the Secretary of State had acted lawfully or would it also have jurisdiction </w:t>
      </w:r>
      <w:proofErr w:type="gramStart"/>
      <w:r w:rsidRPr="00E14189">
        <w:rPr>
          <w:rFonts w:ascii="Times" w:eastAsia="Times New Roman" w:hAnsi="Times" w:cs="Times New Roman"/>
          <w:sz w:val="20"/>
          <w:szCs w:val="20"/>
        </w:rPr>
        <w:t>to make</w:t>
      </w:r>
      <w:proofErr w:type="gramEnd"/>
      <w:r w:rsidRPr="00E14189">
        <w:rPr>
          <w:rFonts w:ascii="Times" w:eastAsia="Times New Roman" w:hAnsi="Times" w:cs="Times New Roman"/>
          <w:sz w:val="20"/>
          <w:szCs w:val="20"/>
        </w:rPr>
        <w:t xml:space="preserve"> a fresh determination of the claimant's age? The latter would not arise </w:t>
      </w:r>
      <w:proofErr w:type="gramStart"/>
      <w:r w:rsidRPr="00E14189">
        <w:rPr>
          <w:rFonts w:ascii="Times" w:eastAsia="Times New Roman" w:hAnsi="Times" w:cs="Times New Roman"/>
          <w:sz w:val="20"/>
          <w:szCs w:val="20"/>
        </w:rPr>
        <w:t>from</w:t>
      </w:r>
      <w:proofErr w:type="gramEnd"/>
      <w:r w:rsidRPr="00E14189">
        <w:rPr>
          <w:rFonts w:ascii="Times" w:eastAsia="Times New Roman" w:hAnsi="Times" w:cs="Times New Roman"/>
          <w:sz w:val="20"/>
          <w:szCs w:val="20"/>
        </w:rPr>
        <w:t xml:space="preserve"> the language of section 55 (unlike section 20(1) of the Children Act). The source of any such jurisdiction would have </w:t>
      </w:r>
      <w:proofErr w:type="gramStart"/>
      <w:r w:rsidRPr="00E14189">
        <w:rPr>
          <w:rFonts w:ascii="Times" w:eastAsia="Times New Roman" w:hAnsi="Times" w:cs="Times New Roman"/>
          <w:sz w:val="20"/>
          <w:szCs w:val="20"/>
        </w:rPr>
        <w:t>to</w:t>
      </w:r>
      <w:proofErr w:type="gramEnd"/>
      <w:r w:rsidRPr="00E14189">
        <w:rPr>
          <w:rFonts w:ascii="Times" w:eastAsia="Times New Roman" w:hAnsi="Times" w:cs="Times New Roman"/>
          <w:sz w:val="20"/>
          <w:szCs w:val="20"/>
        </w:rPr>
        <w:t xml:space="preserve"> be the court's habeas corpus jurisdiction. </w:t>
      </w:r>
      <w:proofErr w:type="gramStart"/>
      <w:r w:rsidRPr="00E14189">
        <w:rPr>
          <w:rFonts w:ascii="Times" w:eastAsia="Times New Roman" w:hAnsi="Times" w:cs="Times New Roman"/>
          <w:sz w:val="20"/>
          <w:szCs w:val="20"/>
        </w:rPr>
        <w:t>The point was not argued because both parties proceeded on the basis that the court would have such jurisdiction</w:t>
      </w:r>
      <w:proofErr w:type="gramEnd"/>
      <w:r w:rsidRPr="00E14189">
        <w:rPr>
          <w:rFonts w:ascii="Times" w:eastAsia="Times New Roman" w:hAnsi="Times" w:cs="Times New Roman"/>
          <w:sz w:val="20"/>
          <w:szCs w:val="20"/>
        </w:rPr>
        <w:t xml:space="preserve">. </w:t>
      </w:r>
      <w:bookmarkEnd w:id="52"/>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3" w:name="para53"/>
      <w:proofErr w:type="gramEnd"/>
      <w:r w:rsidRPr="00E14189">
        <w:rPr>
          <w:rFonts w:ascii="Times" w:eastAsia="Times New Roman" w:hAnsi="Times" w:cs="Times New Roman"/>
          <w:sz w:val="20"/>
          <w:szCs w:val="20"/>
        </w:rPr>
        <w:t xml:space="preserve">The court's habeas corpus jurisdiction is a creation of the common law, although it has also been the subject of numerous statutes. </w:t>
      </w:r>
      <w:proofErr w:type="gramStart"/>
      <w:r w:rsidRPr="00E14189">
        <w:rPr>
          <w:rFonts w:ascii="Times" w:eastAsia="Times New Roman" w:hAnsi="Times" w:cs="Times New Roman"/>
          <w:sz w:val="20"/>
          <w:szCs w:val="20"/>
        </w:rPr>
        <w:t>The courts have power to develop it where necessary in order to achieve effective justice in matters of personal liberty</w:t>
      </w:r>
      <w:proofErr w:type="gramEnd"/>
      <w:r w:rsidRPr="00E14189">
        <w:rPr>
          <w:rFonts w:ascii="Times" w:eastAsia="Times New Roman" w:hAnsi="Times" w:cs="Times New Roman"/>
          <w:sz w:val="20"/>
          <w:szCs w:val="20"/>
        </w:rPr>
        <w:t xml:space="preserve">. </w:t>
      </w:r>
      <w:proofErr w:type="gramStart"/>
      <w:r w:rsidRPr="00E14189">
        <w:rPr>
          <w:rFonts w:ascii="Times" w:eastAsia="Times New Roman" w:hAnsi="Times" w:cs="Times New Roman"/>
          <w:sz w:val="20"/>
          <w:szCs w:val="20"/>
        </w:rPr>
        <w:t>(Professor</w:t>
      </w:r>
      <w:proofErr w:type="gramEnd"/>
      <w:r w:rsidRPr="00E14189">
        <w:rPr>
          <w:rFonts w:ascii="Times" w:eastAsia="Times New Roman" w:hAnsi="Times" w:cs="Times New Roman"/>
          <w:sz w:val="20"/>
          <w:szCs w:val="20"/>
        </w:rPr>
        <w:t xml:space="preserve"> Paul Halliday gives a magisterial account of the history of the development of the "great writ" in </w:t>
      </w:r>
      <w:r w:rsidRPr="00E14189">
        <w:rPr>
          <w:rFonts w:ascii="Times" w:eastAsia="Times New Roman" w:hAnsi="Times" w:cs="Times New Roman"/>
          <w:i/>
          <w:iCs/>
          <w:sz w:val="20"/>
          <w:szCs w:val="20"/>
        </w:rPr>
        <w:t>Habeas Corpus From England to Empire</w:t>
      </w:r>
      <w:r w:rsidRPr="00E14189">
        <w:rPr>
          <w:rFonts w:ascii="Times" w:eastAsia="Times New Roman" w:hAnsi="Times" w:cs="Times New Roman"/>
          <w:sz w:val="20"/>
          <w:szCs w:val="20"/>
        </w:rPr>
        <w:t xml:space="preserve">, 2010, Harvard University Press.) Although it is unnecessary to decide the point, I am sympathetic to the view that the court's habeas corpus jurisdiction in this type of situation should not be confined to determining whether the Secretary of State had acted lawfully in the detention of the claimant, but should extend to enable the court to make a fresh determination of the claimant's age, which would necessarily impact on the lawfulness of his continued detention. The effect of a finding in the claimant's favour would not take him outside </w:t>
      </w:r>
      <w:proofErr w:type="gramStart"/>
      <w:r w:rsidRPr="00E14189">
        <w:rPr>
          <w:rFonts w:ascii="Times" w:eastAsia="Times New Roman" w:hAnsi="Times" w:cs="Times New Roman"/>
          <w:sz w:val="20"/>
          <w:szCs w:val="20"/>
        </w:rPr>
        <w:t>the scope</w:t>
      </w:r>
      <w:proofErr w:type="gramEnd"/>
      <w:r w:rsidRPr="00E14189">
        <w:rPr>
          <w:rFonts w:ascii="Times" w:eastAsia="Times New Roman" w:hAnsi="Times" w:cs="Times New Roman"/>
          <w:sz w:val="20"/>
          <w:szCs w:val="20"/>
        </w:rPr>
        <w:t xml:space="preserve"> of paragraph 16, which conferred the statutory detention power, but it would impact on the operation thereafter of the Secretary of State's policies introduced for the purpose of implementing section 55. In practical terms it would mean that the court is able to reach a final determination of the claimant's age not only when his rights under the Children Act depend </w:t>
      </w:r>
      <w:proofErr w:type="gramStart"/>
      <w:r w:rsidRPr="00E14189">
        <w:rPr>
          <w:rFonts w:ascii="Times" w:eastAsia="Times New Roman" w:hAnsi="Times" w:cs="Times New Roman"/>
          <w:sz w:val="20"/>
          <w:szCs w:val="20"/>
        </w:rPr>
        <w:t xml:space="preserve">on </w:t>
      </w:r>
      <w:proofErr w:type="gramEnd"/>
      <w:r w:rsidRPr="00E14189">
        <w:rPr>
          <w:rFonts w:ascii="Times" w:eastAsia="Times New Roman" w:hAnsi="Times" w:cs="Times New Roman"/>
          <w:sz w:val="20"/>
          <w:szCs w:val="20"/>
        </w:rPr>
        <w:t xml:space="preserve">it but more fundamentally when his liberty depends on it. </w:t>
      </w:r>
      <w:bookmarkEnd w:id="53"/>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4" w:name="para54"/>
      <w:proofErr w:type="gramEnd"/>
      <w:r w:rsidRPr="00E14189">
        <w:rPr>
          <w:rFonts w:ascii="Times" w:eastAsia="Times New Roman" w:hAnsi="Times" w:cs="Times New Roman"/>
          <w:sz w:val="20"/>
          <w:szCs w:val="20"/>
        </w:rPr>
        <w:t xml:space="preserve">For the reasons set out above, I would dismiss the appeal. </w:t>
      </w:r>
      <w:bookmarkEnd w:id="54"/>
    </w:p>
    <w:p w:rsidR="00E14189" w:rsidRPr="00E14189" w:rsidRDefault="00E14189" w:rsidP="00E14189">
      <w:pPr>
        <w:rPr>
          <w:rFonts w:ascii="Times" w:eastAsia="Times New Roman" w:hAnsi="Times" w:cs="Times New Roman"/>
          <w:sz w:val="20"/>
          <w:szCs w:val="20"/>
        </w:rPr>
      </w:pPr>
      <w:r w:rsidRPr="00E14189">
        <w:rPr>
          <w:rFonts w:ascii="Times" w:eastAsia="Times New Roman" w:hAnsi="Times" w:cs="Times New Roman"/>
          <w:b/>
          <w:bCs/>
          <w:sz w:val="20"/>
          <w:szCs w:val="20"/>
        </w:rPr>
        <w:t xml:space="preserve">LORD CARNWATH </w:t>
      </w:r>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5" w:name="para55"/>
      <w:proofErr w:type="gramEnd"/>
      <w:r w:rsidRPr="00E14189">
        <w:rPr>
          <w:rFonts w:ascii="Times" w:eastAsia="Times New Roman" w:hAnsi="Times" w:cs="Times New Roman"/>
          <w:sz w:val="20"/>
          <w:szCs w:val="20"/>
        </w:rPr>
        <w:t xml:space="preserve">On the issues before us in this appeal, I agree entirely with the reasoning and conclusions of Lord Toulson, to which I have nothing to add. </w:t>
      </w:r>
      <w:bookmarkEnd w:id="55"/>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6" w:name="para56"/>
      <w:proofErr w:type="gramEnd"/>
      <w:r w:rsidRPr="00E14189">
        <w:rPr>
          <w:rFonts w:ascii="Times" w:eastAsia="Times New Roman" w:hAnsi="Times" w:cs="Times New Roman"/>
          <w:sz w:val="20"/>
          <w:szCs w:val="20"/>
        </w:rPr>
        <w:t xml:space="preserve">I do, however, have some reservations with regard to his concluding paragraphs, relating to the possible use of habeas corpus to fill a perceived gap in the present statutory code. </w:t>
      </w:r>
      <w:proofErr w:type="gramStart"/>
      <w:r w:rsidRPr="00E14189">
        <w:rPr>
          <w:rFonts w:ascii="Times" w:eastAsia="Times New Roman" w:hAnsi="Times" w:cs="Times New Roman"/>
          <w:sz w:val="20"/>
          <w:szCs w:val="20"/>
        </w:rPr>
        <w:t>Given the constitutional importance of the "Great Writ" of habeas corpus, I would hesitate before accepting it as a suitable procedure for t</w:t>
      </w:r>
      <w:proofErr w:type="gramEnd"/>
      <w:r w:rsidRPr="00E14189">
        <w:rPr>
          <w:rFonts w:ascii="Times" w:eastAsia="Times New Roman" w:hAnsi="Times" w:cs="Times New Roman"/>
          <w:sz w:val="20"/>
          <w:szCs w:val="20"/>
        </w:rPr>
        <w:t xml:space="preserve">he narrow, factual inquiries likely to be required in cases such as this. </w:t>
      </w:r>
      <w:proofErr w:type="gramStart"/>
      <w:r w:rsidRPr="00E14189">
        <w:rPr>
          <w:rFonts w:ascii="Times" w:eastAsia="Times New Roman" w:hAnsi="Times" w:cs="Times New Roman"/>
          <w:sz w:val="20"/>
          <w:szCs w:val="20"/>
        </w:rPr>
        <w:t>I would in any event be particularly anxious that there should first be full exploration of all the legal and practical implications</w:t>
      </w:r>
      <w:proofErr w:type="gramEnd"/>
      <w:r w:rsidRPr="00E14189">
        <w:rPr>
          <w:rFonts w:ascii="Times" w:eastAsia="Times New Roman" w:hAnsi="Times" w:cs="Times New Roman"/>
          <w:sz w:val="20"/>
          <w:szCs w:val="20"/>
        </w:rPr>
        <w:t xml:space="preserve">. </w:t>
      </w:r>
      <w:bookmarkEnd w:id="56"/>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7" w:name="para57"/>
      <w:proofErr w:type="gramEnd"/>
      <w:r w:rsidRPr="00E14189">
        <w:rPr>
          <w:rFonts w:ascii="Times" w:eastAsia="Times New Roman" w:hAnsi="Times" w:cs="Times New Roman"/>
          <w:sz w:val="20"/>
          <w:szCs w:val="20"/>
        </w:rPr>
        <w:t xml:space="preserve">The evidentiary and procedural challenges arising from the decision of the House of Lords in </w:t>
      </w:r>
      <w:r w:rsidRPr="00E14189">
        <w:rPr>
          <w:rFonts w:ascii="Times" w:eastAsia="Times New Roman" w:hAnsi="Times" w:cs="Times New Roman"/>
          <w:i/>
          <w:iCs/>
          <w:sz w:val="20"/>
          <w:szCs w:val="20"/>
        </w:rPr>
        <w:t>Croydon</w:t>
      </w:r>
      <w:r w:rsidRPr="00E14189">
        <w:rPr>
          <w:rFonts w:ascii="Times" w:eastAsia="Times New Roman" w:hAnsi="Times" w:cs="Times New Roman"/>
          <w:sz w:val="20"/>
          <w:szCs w:val="20"/>
        </w:rPr>
        <w:t xml:space="preserve"> have now to a large extent been addressed by use of the powers under the Tribunals, Courts and Enforcement Act 2007, allowing transfer of defined categories of judicial review to the Upper Tribunal. </w:t>
      </w:r>
      <w:proofErr w:type="gramStart"/>
      <w:r w:rsidRPr="00E14189">
        <w:rPr>
          <w:rFonts w:ascii="Times" w:eastAsia="Times New Roman" w:hAnsi="Times" w:cs="Times New Roman"/>
          <w:sz w:val="20"/>
          <w:szCs w:val="20"/>
        </w:rPr>
        <w:t xml:space="preserve">Judges of that tribunal, in turn, have been able, with the assistance of representatives of interested bodies and other experts, to develop </w:t>
      </w:r>
      <w:proofErr w:type="gramEnd"/>
      <w:r w:rsidRPr="00E14189">
        <w:rPr>
          <w:rFonts w:ascii="Times" w:eastAsia="Times New Roman" w:hAnsi="Times" w:cs="Times New Roman"/>
          <w:sz w:val="20"/>
          <w:szCs w:val="20"/>
        </w:rPr>
        <w:t xml:space="preserve">the necessary specialist skills for handling them. As I understand it, those arrangements are working well. </w:t>
      </w:r>
      <w:bookmarkEnd w:id="57"/>
    </w:p>
    <w:p w:rsidR="00E14189" w:rsidRPr="00E14189" w:rsidRDefault="00E14189" w:rsidP="00E14189">
      <w:pPr>
        <w:rPr>
          <w:rFonts w:ascii="Times" w:eastAsia="Times New Roman" w:hAnsi="Times" w:cs="Times New Roman"/>
          <w:sz w:val="20"/>
          <w:szCs w:val="20"/>
        </w:rPr>
      </w:pPr>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8" w:name="para58"/>
      <w:proofErr w:type="gramEnd"/>
      <w:r w:rsidRPr="00E14189">
        <w:rPr>
          <w:rFonts w:ascii="Times" w:eastAsia="Times New Roman" w:hAnsi="Times" w:cs="Times New Roman"/>
          <w:sz w:val="20"/>
          <w:szCs w:val="20"/>
        </w:rPr>
        <w:t xml:space="preserve">There is at present no provision under the 2007 Act for the equivalent transfer of habeas corpus proceedings to the Upper Tribunal. </w:t>
      </w:r>
      <w:proofErr w:type="gramStart"/>
      <w:r w:rsidRPr="00E14189">
        <w:rPr>
          <w:rFonts w:ascii="Times" w:eastAsia="Times New Roman" w:hAnsi="Times" w:cs="Times New Roman"/>
          <w:sz w:val="20"/>
          <w:szCs w:val="20"/>
        </w:rPr>
        <w:t>Given the constitutional importance of the writ, that seems unlikely to change</w:t>
      </w:r>
      <w:proofErr w:type="gramEnd"/>
      <w:r w:rsidRPr="00E14189">
        <w:rPr>
          <w:rFonts w:ascii="Times" w:eastAsia="Times New Roman" w:hAnsi="Times" w:cs="Times New Roman"/>
          <w:sz w:val="20"/>
          <w:szCs w:val="20"/>
        </w:rPr>
        <w:t xml:space="preserve">. The problems no doubt could be overcome. There is likely also </w:t>
      </w:r>
      <w:proofErr w:type="gramStart"/>
      <w:r w:rsidRPr="00E14189">
        <w:rPr>
          <w:rFonts w:ascii="Times" w:eastAsia="Times New Roman" w:hAnsi="Times" w:cs="Times New Roman"/>
          <w:sz w:val="20"/>
          <w:szCs w:val="20"/>
        </w:rPr>
        <w:t>to</w:t>
      </w:r>
      <w:proofErr w:type="gramEnd"/>
      <w:r w:rsidRPr="00E14189">
        <w:rPr>
          <w:rFonts w:ascii="Times" w:eastAsia="Times New Roman" w:hAnsi="Times" w:cs="Times New Roman"/>
          <w:sz w:val="20"/>
          <w:szCs w:val="20"/>
        </w:rPr>
        <w:t xml:space="preserve"> be more scope for transfer of such judicial expertise between the tribunals and the courts under the new powers conferred by the Crime and Courts Act 2013, but this seems an additional complication which we should be careful of imposing on the parties and the lower courts, unless and until the implications have been worked out. </w:t>
      </w:r>
      <w:bookmarkEnd w:id="58"/>
    </w:p>
    <w:p w:rsidR="00681AAA" w:rsidRDefault="00E14189" w:rsidP="00E14189">
      <w:r w:rsidRPr="00E14189">
        <w:rPr>
          <w:rFonts w:ascii="Times" w:eastAsia="Times New Roman" w:hAnsi="Symbol" w:cs="Times New Roman"/>
          <w:sz w:val="20"/>
          <w:szCs w:val="20"/>
        </w:rPr>
        <w:t></w:t>
      </w:r>
      <w:proofErr w:type="gramStart"/>
      <w:r w:rsidRPr="00E14189">
        <w:rPr>
          <w:rFonts w:ascii="Times" w:eastAsia="Times New Roman" w:hAnsi="Times" w:cs="Times New Roman"/>
          <w:sz w:val="20"/>
          <w:szCs w:val="20"/>
        </w:rPr>
        <w:t xml:space="preserve">  </w:t>
      </w:r>
      <w:bookmarkStart w:id="59" w:name="para59"/>
      <w:proofErr w:type="gramEnd"/>
      <w:r w:rsidRPr="00E14189">
        <w:rPr>
          <w:rFonts w:ascii="Times" w:eastAsia="Times New Roman" w:hAnsi="Times" w:cs="Times New Roman"/>
          <w:sz w:val="20"/>
          <w:szCs w:val="20"/>
        </w:rPr>
        <w:t xml:space="preserve">Accordingly, I would prefer to say nothing on this issue, which, as Lord Toulson acknowledges, is not before us for decision and on which we have heard no argument. Nor is there </w:t>
      </w:r>
      <w:proofErr w:type="gramStart"/>
      <w:r w:rsidRPr="00E14189">
        <w:rPr>
          <w:rFonts w:ascii="Times" w:eastAsia="Times New Roman" w:hAnsi="Times" w:cs="Times New Roman"/>
          <w:sz w:val="20"/>
          <w:szCs w:val="20"/>
        </w:rPr>
        <w:t xml:space="preserve">any </w:t>
      </w:r>
      <w:proofErr w:type="gramEnd"/>
      <w:r w:rsidRPr="00E14189">
        <w:rPr>
          <w:rFonts w:ascii="Times" w:eastAsia="Times New Roman" w:hAnsi="Times" w:cs="Times New Roman"/>
          <w:sz w:val="20"/>
          <w:szCs w:val="20"/>
        </w:rPr>
        <w:t xml:space="preserve">evidence before us of a serious jurisprudential gap requiring an urgent remedy at this level. In my view, we would be better advised </w:t>
      </w:r>
      <w:proofErr w:type="gramStart"/>
      <w:r w:rsidRPr="00E14189">
        <w:rPr>
          <w:rFonts w:ascii="Times" w:eastAsia="Times New Roman" w:hAnsi="Times" w:cs="Times New Roman"/>
          <w:sz w:val="20"/>
          <w:szCs w:val="20"/>
        </w:rPr>
        <w:t>at</w:t>
      </w:r>
      <w:proofErr w:type="gramEnd"/>
      <w:r w:rsidRPr="00E14189">
        <w:rPr>
          <w:rFonts w:ascii="Times" w:eastAsia="Times New Roman" w:hAnsi="Times" w:cs="Times New Roman"/>
          <w:sz w:val="20"/>
          <w:szCs w:val="20"/>
        </w:rPr>
        <w:t xml:space="preserve"> this stage to leave it to those directly concerned, working with the specialist courts and tribunals, to address such problems, if and when they arise, and to seek practical solutions to them. If in due course the issue does need to return to the higher courts, it will be with a better appreciation of what is involved.</w:t>
      </w:r>
      <w:bookmarkStart w:id="60" w:name="_GoBack"/>
      <w:bookmarkEnd w:id="59"/>
      <w:bookmarkEnd w:id="60"/>
    </w:p>
    <w:sectPr w:rsidR="00681AAA" w:rsidSect="00681A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06C"/>
    <w:multiLevelType w:val="multilevel"/>
    <w:tmpl w:val="9394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56DAC"/>
    <w:multiLevelType w:val="multilevel"/>
    <w:tmpl w:val="763A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50804"/>
    <w:multiLevelType w:val="multilevel"/>
    <w:tmpl w:val="3F06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E36FB"/>
    <w:multiLevelType w:val="multilevel"/>
    <w:tmpl w:val="D8A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A13218"/>
    <w:multiLevelType w:val="multilevel"/>
    <w:tmpl w:val="2036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89"/>
    <w:rsid w:val="00681AAA"/>
    <w:rsid w:val="00E141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14189"/>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E14189"/>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E14189"/>
    <w:rPr>
      <w:rFonts w:ascii="Times" w:hAnsi="Times"/>
      <w:b/>
      <w:bCs/>
      <w:sz w:val="36"/>
      <w:szCs w:val="36"/>
    </w:rPr>
  </w:style>
  <w:style w:type="character" w:customStyle="1" w:styleId="Titolo3Carattere">
    <w:name w:val="Titolo 3 Carattere"/>
    <w:basedOn w:val="Caratterepredefinitoparagrafo"/>
    <w:link w:val="Titolo3"/>
    <w:uiPriority w:val="9"/>
    <w:rsid w:val="00E14189"/>
    <w:rPr>
      <w:rFonts w:ascii="Times" w:hAnsi="Times"/>
      <w:b/>
      <w:bCs/>
      <w:sz w:val="27"/>
      <w:szCs w:val="27"/>
    </w:rPr>
  </w:style>
  <w:style w:type="paragraph" w:styleId="NormaleWeb">
    <w:name w:val="Normal (Web)"/>
    <w:basedOn w:val="Normale"/>
    <w:uiPriority w:val="99"/>
    <w:semiHidden/>
    <w:unhideWhenUsed/>
    <w:rsid w:val="00E14189"/>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E1418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14189"/>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E14189"/>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E14189"/>
    <w:rPr>
      <w:rFonts w:ascii="Times" w:hAnsi="Times"/>
      <w:b/>
      <w:bCs/>
      <w:sz w:val="36"/>
      <w:szCs w:val="36"/>
    </w:rPr>
  </w:style>
  <w:style w:type="character" w:customStyle="1" w:styleId="Titolo3Carattere">
    <w:name w:val="Titolo 3 Carattere"/>
    <w:basedOn w:val="Caratterepredefinitoparagrafo"/>
    <w:link w:val="Titolo3"/>
    <w:uiPriority w:val="9"/>
    <w:rsid w:val="00E14189"/>
    <w:rPr>
      <w:rFonts w:ascii="Times" w:hAnsi="Times"/>
      <w:b/>
      <w:bCs/>
      <w:sz w:val="27"/>
      <w:szCs w:val="27"/>
    </w:rPr>
  </w:style>
  <w:style w:type="paragraph" w:styleId="NormaleWeb">
    <w:name w:val="Normal (Web)"/>
    <w:basedOn w:val="Normale"/>
    <w:uiPriority w:val="99"/>
    <w:semiHidden/>
    <w:unhideWhenUsed/>
    <w:rsid w:val="00E14189"/>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E14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463163">
      <w:bodyDiv w:val="1"/>
      <w:marLeft w:val="0"/>
      <w:marRight w:val="0"/>
      <w:marTop w:val="0"/>
      <w:marBottom w:val="0"/>
      <w:divBdr>
        <w:top w:val="none" w:sz="0" w:space="0" w:color="auto"/>
        <w:left w:val="none" w:sz="0" w:space="0" w:color="auto"/>
        <w:bottom w:val="none" w:sz="0" w:space="0" w:color="auto"/>
        <w:right w:val="none" w:sz="0" w:space="0" w:color="auto"/>
      </w:divBdr>
      <w:divsChild>
        <w:div w:id="132068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40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96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85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49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59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2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530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695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887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540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752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20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25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48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999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0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590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919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62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6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20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17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400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308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1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9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589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72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275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723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1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087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9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04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137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781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461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73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939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80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05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47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8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670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8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052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14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759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561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77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538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1670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3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33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7860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537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739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053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8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413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414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72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465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95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061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3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031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045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259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27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0300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18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30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764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25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04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5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166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2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069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869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621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24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229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017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464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80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743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442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96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12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04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87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97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76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2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1214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1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249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463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ilii.org/uk/cases/UKSC/2009/8.html" TargetMode="External"/><Relationship Id="rId12" Type="http://schemas.openxmlformats.org/officeDocument/2006/relationships/hyperlink" Target="http://www.bailii.org/cgi-bin/redirect.cgi?path=/uk/cases/UKSC/2009/8.html" TargetMode="External"/><Relationship Id="rId13" Type="http://schemas.openxmlformats.org/officeDocument/2006/relationships/hyperlink" Target="http://www.bailii.org/cgi-bin/redirect.cgi?path=/uk/cases/UKSC/2011/12.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ilii.org/ew/cases/EWCA/Civ/2012/1383.html" TargetMode="External"/><Relationship Id="rId7" Type="http://schemas.openxmlformats.org/officeDocument/2006/relationships/hyperlink" Target="http://www.bailii.org/cgi-bin/redirect.cgi?path=/ew/cases/EWHC/Admin/2003/1689.html" TargetMode="External"/><Relationship Id="rId8" Type="http://schemas.openxmlformats.org/officeDocument/2006/relationships/hyperlink" Target="http://www.bailii.org/cgi-bin/redirect.cgi?path=/uk/cases/UKSC/2009/8.html" TargetMode="External"/><Relationship Id="rId9" Type="http://schemas.openxmlformats.org/officeDocument/2006/relationships/hyperlink" Target="http://www.bailii.org/ew/cases/EWCA/Civ/2012/1383.html" TargetMode="External"/><Relationship Id="rId10" Type="http://schemas.openxmlformats.org/officeDocument/2006/relationships/hyperlink" Target="http://www.bailii.org/cgi-bin/redirect.cgi?path=/uk/cases/UKSC/2011/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5884</Words>
  <Characters>33545</Characters>
  <Application>Microsoft Macintosh Word</Application>
  <DocSecurity>0</DocSecurity>
  <Lines>279</Lines>
  <Paragraphs>78</Paragraphs>
  <ScaleCrop>false</ScaleCrop>
  <Company/>
  <LinksUpToDate>false</LinksUpToDate>
  <CharactersWithSpaces>39351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2013-09-14T22:36:00Z</dcterms:created>
  <dcterms:modified xsi:type="dcterms:W3CDTF">2013-09-14T22:37:00Z</dcterms:modified>
</cp:coreProperties>
</file>