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87" w:rsidRDefault="00766087">
      <w:pPr>
        <w:jc w:val="both"/>
        <w:rPr>
          <w:rFonts w:ascii="Book Antiqua" w:hAnsi="Book Antiqua"/>
          <w:i/>
          <w:iCs/>
        </w:rPr>
      </w:pPr>
    </w:p>
    <w:p w:rsidR="00766087" w:rsidRDefault="00766087">
      <w:pPr>
        <w:jc w:val="center"/>
        <w:rPr>
          <w:rFonts w:ascii="Book Antiqua" w:hAnsi="Book Antiqua"/>
          <w:b/>
          <w:bCs/>
          <w:sz w:val="28"/>
        </w:rPr>
      </w:pPr>
      <w:r>
        <w:rPr>
          <w:rFonts w:ascii="Book Antiqua" w:hAnsi="Book Antiqua"/>
          <w:b/>
          <w:bCs/>
          <w:sz w:val="28"/>
        </w:rPr>
        <w:t>il Tribunale di Genova</w:t>
      </w:r>
    </w:p>
    <w:p w:rsidR="00766087" w:rsidRDefault="00766087">
      <w:pPr>
        <w:jc w:val="center"/>
        <w:rPr>
          <w:rFonts w:ascii="Book Antiqua" w:hAnsi="Book Antiqua"/>
          <w:b/>
          <w:bCs/>
        </w:rPr>
      </w:pPr>
      <w:r>
        <w:rPr>
          <w:rFonts w:ascii="Book Antiqua" w:hAnsi="Book Antiqua"/>
          <w:b/>
          <w:bCs/>
        </w:rPr>
        <w:t>in composizione monocratica ed in funzione di giudice del lavoro</w:t>
      </w:r>
    </w:p>
    <w:p w:rsidR="00766087" w:rsidRDefault="00766087">
      <w:pPr>
        <w:jc w:val="center"/>
        <w:rPr>
          <w:rFonts w:ascii="Book Antiqua" w:hAnsi="Book Antiqua"/>
          <w:b/>
          <w:bCs/>
        </w:rPr>
      </w:pPr>
    </w:p>
    <w:p w:rsidR="00766087" w:rsidRDefault="00766087">
      <w:pPr>
        <w:pStyle w:val="BodyText"/>
      </w:pPr>
      <w:r>
        <w:t xml:space="preserve">a scioglimento della riserva, visti gli atti ed esaminate le opposte deduzioni delle parti, osserva quanto segue. </w:t>
      </w:r>
    </w:p>
    <w:p w:rsidR="00766087" w:rsidRDefault="00766087">
      <w:pPr>
        <w:jc w:val="both"/>
        <w:rPr>
          <w:rFonts w:ascii="Book Antiqua" w:hAnsi="Book Antiqua"/>
        </w:rPr>
      </w:pPr>
      <w:r>
        <w:rPr>
          <w:rFonts w:ascii="Book Antiqua" w:hAnsi="Book Antiqua"/>
        </w:rPr>
        <w:t xml:space="preserve">  Abdelouahed El Housni è cittadino marocchino residente in Savignone (GE). Ha chiesto accertarsi il carattere discriminatorio delle condotte dell’Amministrazione di questo Comune nonché dell’INPS che gli hanno negato il diritto all’assegno per i nuclei familiari con almeno tre figli, di cui all’art. 65 l. 448/98, per la ragione che egli non è cittadino italiano o comunitario.    </w:t>
      </w:r>
    </w:p>
    <w:p w:rsidR="00766087" w:rsidRDefault="00766087">
      <w:pPr>
        <w:jc w:val="both"/>
        <w:rPr>
          <w:rFonts w:ascii="Book Antiqua" w:hAnsi="Book Antiqua"/>
        </w:rPr>
      </w:pPr>
    </w:p>
    <w:p w:rsidR="00766087" w:rsidRPr="003A184D" w:rsidRDefault="00766087">
      <w:pPr>
        <w:jc w:val="both"/>
        <w:rPr>
          <w:rFonts w:ascii="Book Antiqua" w:hAnsi="Book Antiqua"/>
          <w:b/>
        </w:rPr>
      </w:pPr>
      <w:r>
        <w:rPr>
          <w:rFonts w:ascii="Book Antiqua" w:hAnsi="Book Antiqua"/>
          <w:b/>
        </w:rPr>
        <w:t>Le questioni sul rito e sull’azione proposta.</w:t>
      </w:r>
    </w:p>
    <w:p w:rsidR="00766087" w:rsidRDefault="00766087">
      <w:pPr>
        <w:jc w:val="both"/>
        <w:rPr>
          <w:rFonts w:ascii="Book Antiqua" w:hAnsi="Book Antiqua"/>
        </w:rPr>
      </w:pPr>
      <w:r>
        <w:rPr>
          <w:rFonts w:ascii="Book Antiqua" w:hAnsi="Book Antiqua"/>
        </w:rPr>
        <w:t>Ha pertanto agito nei confronti dei due enti predetti qualificando la procedura introdotta sulla base delle norme di cui agli artt. 702-</w:t>
      </w:r>
      <w:r>
        <w:rPr>
          <w:rFonts w:ascii="Book Antiqua" w:hAnsi="Book Antiqua"/>
          <w:i/>
        </w:rPr>
        <w:t xml:space="preserve">bis </w:t>
      </w:r>
      <w:r>
        <w:rPr>
          <w:rFonts w:ascii="Book Antiqua" w:hAnsi="Book Antiqua"/>
        </w:rPr>
        <w:t xml:space="preserve">c.p.c., 44 d. lgs 286/98, 4 d. lgs 215/2003. Dovendosi ritenere effettivamente incompatibile col rito del lavoro – è quanto ha eccepito INPS – il procedimento sommario di cognizione introdotto con la legge 69/2000, risulta corretto l’inquadramento del presente giudizio nello speciale procedimento disciplinato dall’art. 44 d. lgs 286/98, richiamato del resto anche dall’art. 4, primo comma, d. lgs 215/2003. La sua disciplina è ormai da ritenersi integrata dall’art. 28 d. lgs 150/2011 e dalle norme processuali in questo richiamate.  </w:t>
      </w:r>
    </w:p>
    <w:p w:rsidR="00766087" w:rsidRDefault="00766087">
      <w:pPr>
        <w:jc w:val="both"/>
        <w:rPr>
          <w:rFonts w:ascii="Book Antiqua" w:hAnsi="Book Antiqua"/>
        </w:rPr>
      </w:pPr>
      <w:r>
        <w:rPr>
          <w:rFonts w:ascii="Book Antiqua" w:hAnsi="Book Antiqua"/>
        </w:rPr>
        <w:t xml:space="preserve">  Ulteriore eccezione di rilievo pregiudiziale concerne l’inammissibilità dell’azione così qualificata. L’INPS ha ritenuto infatti che non possa predicarsi per sé – ma il rilievo è evidentemente riferibile anche al Comune di Savignone – un comportamento discriminatorio quando esso sia adottato nella mera esecuzione di norme di legge. </w:t>
      </w:r>
    </w:p>
    <w:p w:rsidR="00766087" w:rsidRDefault="00766087">
      <w:pPr>
        <w:jc w:val="both"/>
        <w:rPr>
          <w:rFonts w:ascii="Book Antiqua" w:hAnsi="Book Antiqua"/>
        </w:rPr>
      </w:pPr>
      <w:r>
        <w:rPr>
          <w:rFonts w:ascii="Book Antiqua" w:hAnsi="Book Antiqua"/>
        </w:rPr>
        <w:t xml:space="preserve">  L’eccezione non è fondata. </w:t>
      </w:r>
    </w:p>
    <w:p w:rsidR="00766087" w:rsidRDefault="00766087">
      <w:pPr>
        <w:jc w:val="both"/>
        <w:rPr>
          <w:rFonts w:ascii="Book Antiqua" w:hAnsi="Book Antiqua"/>
        </w:rPr>
      </w:pPr>
      <w:r>
        <w:rPr>
          <w:rFonts w:ascii="Book Antiqua" w:hAnsi="Book Antiqua"/>
        </w:rPr>
        <w:t xml:space="preserve">  Ai sensi dell’art. 43, secondo comma, d. lgs 286/98, “</w:t>
      </w:r>
      <w:r w:rsidRPr="00E672F6">
        <w:rPr>
          <w:rFonts w:ascii="Book Antiqua" w:hAnsi="Book Antiqua"/>
          <w:i/>
        </w:rPr>
        <w:t>c</w:t>
      </w:r>
      <w:r w:rsidRPr="00E672F6">
        <w:rPr>
          <w:rFonts w:ascii="Book Antiqua" w:hAnsi="Book Antiqua" w:cs="Times"/>
          <w:i/>
          <w:color w:val="000000"/>
        </w:rPr>
        <w:t>ostituisce discriminazione indiretta ogni trattamento pregiudizievole conseguente all'adozione di criteri che svantaggino in modo proporzionalmente maggiore i lavoratori appartenenti ad una determinata razza, ad un determinato gruppo etnico o linguistico, ad una determinata confessione religiosa o ad una cittadinanza e riguardino requisiti non essenziali allo svolgimento dell'attività lavorativa</w:t>
      </w:r>
      <w:r>
        <w:rPr>
          <w:rFonts w:ascii="Book Antiqua" w:hAnsi="Book Antiqua"/>
        </w:rPr>
        <w:t>”.</w:t>
      </w:r>
    </w:p>
    <w:p w:rsidR="00766087" w:rsidRPr="00D74205" w:rsidRDefault="00766087" w:rsidP="00D74205">
      <w:pPr>
        <w:autoSpaceDE w:val="0"/>
        <w:autoSpaceDN w:val="0"/>
        <w:adjustRightInd w:val="0"/>
        <w:jc w:val="both"/>
        <w:rPr>
          <w:rFonts w:ascii="Book Antiqua" w:hAnsi="Book Antiqua" w:cs="Arial"/>
        </w:rPr>
      </w:pPr>
      <w:r w:rsidRPr="00D74205">
        <w:rPr>
          <w:rFonts w:ascii="Book Antiqua" w:hAnsi="Book Antiqua"/>
        </w:rPr>
        <w:t xml:space="preserve">  La norma riprende la nozione di derivazione comunitaria che censura </w:t>
      </w:r>
      <w:r w:rsidRPr="00D74205">
        <w:rPr>
          <w:rFonts w:ascii="Book Antiqua" w:hAnsi="Book Antiqua" w:cs="Book Antiqua"/>
        </w:rPr>
        <w:t xml:space="preserve">una disposizione, un criterio od una prassi che, apparentemente neutri, determinino di fatto nelle persone a cui sia riferibile uno dei motivi tipizzati, una posizione di particolare svantaggio. Pertanto, </w:t>
      </w:r>
      <w:r w:rsidRPr="00D74205">
        <w:rPr>
          <w:rFonts w:ascii="Book Antiqua" w:hAnsi="Book Antiqua" w:cs="Arial"/>
        </w:rPr>
        <w:t xml:space="preserve">in virtù di quanto affermato anche dalla giurisprudenza comunitaria [sul punto cfr. già </w:t>
      </w:r>
      <w:r w:rsidRPr="00D74205">
        <w:rPr>
          <w:rFonts w:ascii="Book Antiqua" w:hAnsi="Book Antiqua" w:cs="Book Antiqua"/>
          <w:bCs/>
        </w:rPr>
        <w:t xml:space="preserve">CGUE 23 maggio 1996, causa c- 237/94, </w:t>
      </w:r>
      <w:r w:rsidRPr="00D74205">
        <w:rPr>
          <w:rFonts w:ascii="Book Antiqua" w:hAnsi="Book Antiqua" w:cs="Century Schoolbook"/>
          <w:i/>
          <w:iCs/>
        </w:rPr>
        <w:t>O’Flynn c. Adjudication Officer,</w:t>
      </w:r>
      <w:r w:rsidRPr="00D74205">
        <w:rPr>
          <w:rFonts w:ascii="Book Antiqua" w:hAnsi="Book Antiqua" w:cs="Arial"/>
        </w:rPr>
        <w:t>], saldamente ancorata ad una concezione funzionale dell'illecito discriminatorio, a rilevare è unicamente l'effetto pregiudizievole che discende da atti e comportamenti, prescindendo dunque dalla motivazione addotta così come dall'intenzione di chi li adotta.</w:t>
      </w:r>
    </w:p>
    <w:p w:rsidR="00766087" w:rsidRDefault="00766087" w:rsidP="00D74205">
      <w:pPr>
        <w:jc w:val="both"/>
        <w:rPr>
          <w:rFonts w:ascii="Book Antiqua" w:hAnsi="Book Antiqua" w:cs="Arial"/>
          <w:color w:val="000000"/>
        </w:rPr>
      </w:pPr>
      <w:r>
        <w:rPr>
          <w:rFonts w:ascii="Book Antiqua" w:hAnsi="Book Antiqua"/>
        </w:rPr>
        <w:t xml:space="preserve">  Più in generale, può ormai dirsi acquisita nel nostro ordinamento una nozione oggettiva di discriminazione (sia diretta che indiretta) che ascrive rilevanza decisiva al risultato delle azioni, tra cui è compresa l’applicazione delle norme positive. E’ quanto si desume </w:t>
      </w:r>
      <w:r w:rsidRPr="0094438F">
        <w:rPr>
          <w:rFonts w:ascii="Book Antiqua" w:hAnsi="Book Antiqua" w:cs="Arial"/>
          <w:color w:val="000000"/>
        </w:rPr>
        <w:t xml:space="preserve">dall’avvenuto recepimento delle direttive </w:t>
      </w:r>
      <w:r>
        <w:rPr>
          <w:rFonts w:ascii="Book Antiqua" w:hAnsi="Book Antiqua" w:cs="Arial"/>
          <w:color w:val="000000"/>
        </w:rPr>
        <w:t>dell’Unione</w:t>
      </w:r>
      <w:r w:rsidRPr="0094438F">
        <w:rPr>
          <w:rFonts w:ascii="Book Antiqua" w:hAnsi="Book Antiqua" w:cs="Arial"/>
          <w:color w:val="000000"/>
        </w:rPr>
        <w:t xml:space="preserve"> 2000/43, 2000/78 e 2002/73, rispettivamente ad opera dei d.lgs. 215 e 216/2003 e 145/2005</w:t>
      </w:r>
      <w:r>
        <w:rPr>
          <w:rFonts w:ascii="Book Antiqua" w:hAnsi="Book Antiqua" w:cs="Arial"/>
          <w:color w:val="000000"/>
        </w:rPr>
        <w:t>.</w:t>
      </w:r>
    </w:p>
    <w:p w:rsidR="00766087" w:rsidRDefault="00766087" w:rsidP="00D74205">
      <w:pPr>
        <w:jc w:val="both"/>
        <w:rPr>
          <w:rFonts w:ascii="Book Antiqua" w:hAnsi="Book Antiqua" w:cs="Arial"/>
          <w:color w:val="000000"/>
        </w:rPr>
      </w:pPr>
      <w:r>
        <w:rPr>
          <w:rFonts w:ascii="Book Antiqua" w:hAnsi="Book Antiqua" w:cs="Arial"/>
          <w:color w:val="000000"/>
        </w:rPr>
        <w:t xml:space="preserve">  Nel caso in esame il ricorrente ha subito un indiscutibile pregiudizio dall’applicazione delle norme – ritenuta dalle parti convenute aderente al loro contenuto dispositivo – che vieterebbero il riconoscimento dell’emolumento rivendicato a cittadini stranieri.  Pertanto sussiste in via astratta la discriminazione che legittima all’azione </w:t>
      </w:r>
      <w:r>
        <w:rPr>
          <w:rFonts w:ascii="Book Antiqua" w:hAnsi="Book Antiqua" w:cs="Arial"/>
          <w:i/>
          <w:color w:val="000000"/>
        </w:rPr>
        <w:t xml:space="preserve">ex </w:t>
      </w:r>
      <w:r>
        <w:rPr>
          <w:rFonts w:ascii="Book Antiqua" w:hAnsi="Book Antiqua" w:cs="Arial"/>
          <w:color w:val="000000"/>
        </w:rPr>
        <w:t>art. 44 d. lgs 286/98.</w:t>
      </w:r>
    </w:p>
    <w:p w:rsidR="00766087" w:rsidRDefault="00766087" w:rsidP="00D74205">
      <w:pPr>
        <w:jc w:val="both"/>
        <w:rPr>
          <w:rFonts w:ascii="Book Antiqua" w:hAnsi="Book Antiqua" w:cs="Arial"/>
          <w:color w:val="000000"/>
        </w:rPr>
      </w:pPr>
      <w:r>
        <w:rPr>
          <w:rFonts w:ascii="Book Antiqua" w:hAnsi="Book Antiqua" w:cs="Arial"/>
          <w:color w:val="000000"/>
        </w:rPr>
        <w:t xml:space="preserve">  Stabilita l’ammissibilità della domanda volta a rimuovere gli ostacoli alla percezione dell’assegno per gli anni tra il 2010 ed il 2012, occorre accertarne la proponibilità.</w:t>
      </w:r>
    </w:p>
    <w:p w:rsidR="00766087" w:rsidRDefault="00766087" w:rsidP="00D74205">
      <w:pPr>
        <w:jc w:val="both"/>
        <w:rPr>
          <w:rFonts w:ascii="Book Antiqua" w:hAnsi="Book Antiqua" w:cs="Arial"/>
          <w:color w:val="000000"/>
        </w:rPr>
      </w:pPr>
      <w:r>
        <w:rPr>
          <w:rFonts w:ascii="Book Antiqua" w:hAnsi="Book Antiqua" w:cs="Arial"/>
          <w:color w:val="000000"/>
        </w:rPr>
        <w:t xml:space="preserve">  Va in premessa rilevato che nella discussione orale la difesa attrice vi ha rinunciato per l’anno 2010, a seguito dell’avvenuto riconoscimento da parte del Comune di Savignone (che aveva ricevuto dichiarazione sostitutiva di atto di notorietà, da parte del ricorrente, circa la nazionalità italiana di lui e dei componenti il proprio nucleo familiare – all. 3 alla  memoria di costituzione del Comune). La rinuncia, che equivale a riduzione della domanda con sua conseguente parziale reiezione [cfr. Cass., sez. II, 8 luglio 1981, n. 4488], rende irrilevante l’indagine sulla proponibilità per l’assegno di quell’anno.</w:t>
      </w:r>
    </w:p>
    <w:p w:rsidR="00766087" w:rsidRDefault="00766087" w:rsidP="00D74205">
      <w:pPr>
        <w:jc w:val="both"/>
        <w:rPr>
          <w:rFonts w:ascii="Book Antiqua" w:hAnsi="Book Antiqua" w:cs="Arial"/>
          <w:color w:val="000000"/>
        </w:rPr>
      </w:pPr>
      <w:r>
        <w:rPr>
          <w:rFonts w:ascii="Book Antiqua" w:hAnsi="Book Antiqua" w:cs="Arial"/>
          <w:color w:val="000000"/>
        </w:rPr>
        <w:t xml:space="preserve">  Quanto agli anni successivi, va precisato che la l. 388/2000, art. 80, comma nono, riconosce il diritto all’assegno al richiedente “</w:t>
      </w:r>
      <w:r>
        <w:rPr>
          <w:rFonts w:ascii="Book Antiqua" w:hAnsi="Book Antiqua" w:cs="Arial"/>
          <w:i/>
          <w:color w:val="000000"/>
        </w:rPr>
        <w:t>che ne abbia fatto annualmente domanda nei termini previsti dalle disposizioni di attuazione</w:t>
      </w:r>
      <w:r>
        <w:rPr>
          <w:rFonts w:ascii="Book Antiqua" w:hAnsi="Book Antiqua" w:cs="Arial"/>
          <w:color w:val="000000"/>
        </w:rPr>
        <w:t>”. L’art. 16, primo comma, DM 452/2001 prescrive che essa sia “</w:t>
      </w:r>
      <w:r>
        <w:rPr>
          <w:rFonts w:ascii="Book Antiqua" w:hAnsi="Book Antiqua" w:cs="Arial"/>
          <w:i/>
          <w:color w:val="000000"/>
        </w:rPr>
        <w:t>presentata, per ogni anno solare o periodo inferiore in cui sussiste il diritto, entro il termine perentorio del 31 gennaio dell’anno successivo a quello per il quale è richiesto il beneficio</w:t>
      </w:r>
      <w:r>
        <w:rPr>
          <w:rFonts w:ascii="Book Antiqua" w:hAnsi="Book Antiqua" w:cs="Arial"/>
          <w:color w:val="000000"/>
        </w:rPr>
        <w:t>”.</w:t>
      </w:r>
    </w:p>
    <w:p w:rsidR="00766087" w:rsidRDefault="00766087" w:rsidP="00D74205">
      <w:pPr>
        <w:jc w:val="both"/>
        <w:rPr>
          <w:rFonts w:ascii="Book Antiqua" w:hAnsi="Book Antiqua" w:cs="Arial"/>
          <w:color w:val="000000"/>
        </w:rPr>
      </w:pPr>
      <w:r>
        <w:rPr>
          <w:rFonts w:ascii="Book Antiqua" w:hAnsi="Book Antiqua" w:cs="Arial"/>
          <w:color w:val="000000"/>
        </w:rPr>
        <w:t xml:space="preserve">  E’ tra le parti pacifico il fatto che il ricorrente abbia avanzato una sola domanda, successiva a quella di cui si è detto, spedita l’11 e pervenuta al Comune di Savignone il 12.4.2012 [all. 12 e 13 al ricorso]. Essa è pertanto tardiva rispetto al termine stabilito per l’anno 2011. E’ da ritenersi invece tempestiva per l’anno 2012, poiché la norma di riferimento, fissando la scadenza entro cui richiedere il beneficio, non ha precluso la facoltà di proporne istanza anticipata in corso di periodo (salvo rimettere evidentemente all’Amministrazione la facoltà di valutarne la fondatezza nel merito).</w:t>
      </w:r>
    </w:p>
    <w:p w:rsidR="00766087" w:rsidRDefault="00766087" w:rsidP="00D74205">
      <w:pPr>
        <w:jc w:val="both"/>
        <w:rPr>
          <w:rFonts w:ascii="Book Antiqua" w:hAnsi="Book Antiqua" w:cs="Arial"/>
          <w:color w:val="000000"/>
        </w:rPr>
      </w:pPr>
      <w:r>
        <w:rPr>
          <w:rFonts w:ascii="Book Antiqua" w:hAnsi="Book Antiqua" w:cs="Arial"/>
          <w:color w:val="000000"/>
        </w:rPr>
        <w:t xml:space="preserve">  La difesa attrice ha sostenuto che la domanda non sarebbe stata proposta per il 2011 per il rifiuto opposto dal personale comunale di consegnargli l’apposito modulo. Il diniego, unitamente alla constatazione che anche il sito </w:t>
      </w:r>
      <w:r>
        <w:rPr>
          <w:rFonts w:ascii="Book Antiqua" w:hAnsi="Book Antiqua" w:cs="Arial"/>
          <w:i/>
          <w:color w:val="000000"/>
        </w:rPr>
        <w:t>internet</w:t>
      </w:r>
      <w:r>
        <w:rPr>
          <w:rFonts w:ascii="Book Antiqua" w:hAnsi="Book Antiqua" w:cs="Arial"/>
          <w:color w:val="000000"/>
        </w:rPr>
        <w:t xml:space="preserve"> dell’INPS riportava  il requisito di cittadinanza per accedere al beneficio, l’avrebbe dissuaso dalla formulazione dell’istanza, diversamente da quanto fatto poi l’anno successivo. </w:t>
      </w:r>
    </w:p>
    <w:p w:rsidR="00766087" w:rsidRDefault="00766087" w:rsidP="00D74205">
      <w:pPr>
        <w:jc w:val="both"/>
        <w:rPr>
          <w:rFonts w:ascii="Book Antiqua" w:hAnsi="Book Antiqua" w:cs="Arial"/>
          <w:color w:val="000000"/>
        </w:rPr>
      </w:pPr>
      <w:r>
        <w:rPr>
          <w:rFonts w:ascii="Book Antiqua" w:hAnsi="Book Antiqua" w:cs="Arial"/>
          <w:color w:val="000000"/>
        </w:rPr>
        <w:t xml:space="preserve">  Dovendosi dunque addebitare alla condotta delle parti convenute, il ricorrente conserverebbe, a suo giudizio, il diritto all’assegno o, quanto meno, ad un risarcimento d’importo equivalente.</w:t>
      </w:r>
    </w:p>
    <w:p w:rsidR="00766087" w:rsidRDefault="00766087" w:rsidP="00D74205">
      <w:pPr>
        <w:jc w:val="both"/>
        <w:rPr>
          <w:rFonts w:ascii="Book Antiqua" w:hAnsi="Book Antiqua" w:cs="Arial"/>
          <w:color w:val="000000"/>
        </w:rPr>
      </w:pPr>
      <w:r>
        <w:rPr>
          <w:rFonts w:ascii="Book Antiqua" w:hAnsi="Book Antiqua" w:cs="Arial"/>
          <w:color w:val="000000"/>
        </w:rPr>
        <w:t xml:space="preserve">  La tesi non è fondata per ragioni di diritto e di fatto.</w:t>
      </w:r>
    </w:p>
    <w:p w:rsidR="00766087" w:rsidRDefault="00766087" w:rsidP="00D74205">
      <w:pPr>
        <w:jc w:val="both"/>
        <w:rPr>
          <w:rFonts w:ascii="Book Antiqua" w:hAnsi="Book Antiqua" w:cs="Arial"/>
          <w:color w:val="000000"/>
        </w:rPr>
      </w:pPr>
      <w:r>
        <w:rPr>
          <w:rFonts w:ascii="Book Antiqua" w:hAnsi="Book Antiqua" w:cs="Arial"/>
          <w:color w:val="000000"/>
        </w:rPr>
        <w:t xml:space="preserve">  Dal primo punto di vista, occorre considerare che, data la natura assistenziale dell’assegno, la domanda assolve alla funzione di avviare il procedimento amministrativo preliminare alla controversia giudiziale, ai sensi dell’art. 443 c.p.c.; in difetto, pertanto, l’azione è improponibile [Cass., sez. lav., 28 dicembre 2011, n. 29236].</w:t>
      </w:r>
    </w:p>
    <w:p w:rsidR="00766087" w:rsidRDefault="00766087" w:rsidP="00D74205">
      <w:pPr>
        <w:jc w:val="both"/>
        <w:rPr>
          <w:rFonts w:ascii="Book Antiqua" w:hAnsi="Book Antiqua" w:cs="Arial"/>
          <w:color w:val="000000"/>
        </w:rPr>
      </w:pPr>
      <w:r>
        <w:rPr>
          <w:rFonts w:ascii="Book Antiqua" w:hAnsi="Book Antiqua" w:cs="Arial"/>
          <w:color w:val="000000"/>
        </w:rPr>
        <w:t xml:space="preserve">  Secondariamente, la tesi pretende di giustificare mediante una prospettazione di fatto e meramente soggettiva un’omissione ad un adempimento di legge, trascurando, tra l’altro, il fatto che l’anno prima (e l’anno dopo) il ricorrente abbia avuto modo di depositare l’istanza.       </w:t>
      </w:r>
    </w:p>
    <w:p w:rsidR="00766087" w:rsidRDefault="00766087" w:rsidP="00D74205">
      <w:pPr>
        <w:jc w:val="both"/>
        <w:rPr>
          <w:rFonts w:ascii="Book Antiqua" w:hAnsi="Book Antiqua" w:cs="Arial"/>
          <w:color w:val="000000"/>
        </w:rPr>
      </w:pPr>
    </w:p>
    <w:p w:rsidR="00766087" w:rsidRPr="003A184D" w:rsidRDefault="00766087" w:rsidP="00D74205">
      <w:pPr>
        <w:jc w:val="both"/>
        <w:rPr>
          <w:rFonts w:ascii="Book Antiqua" w:hAnsi="Book Antiqua" w:cs="Arial"/>
          <w:b/>
          <w:color w:val="000000"/>
        </w:rPr>
      </w:pPr>
      <w:r>
        <w:rPr>
          <w:rFonts w:ascii="Book Antiqua" w:hAnsi="Book Antiqua" w:cs="Arial"/>
          <w:b/>
          <w:color w:val="000000"/>
        </w:rPr>
        <w:t>Il diritto fatto valere.</w:t>
      </w:r>
    </w:p>
    <w:p w:rsidR="00766087" w:rsidRDefault="00766087" w:rsidP="00D74205">
      <w:pPr>
        <w:jc w:val="both"/>
        <w:rPr>
          <w:rFonts w:ascii="Book Antiqua" w:hAnsi="Book Antiqua" w:cs="Arial"/>
          <w:color w:val="000000"/>
        </w:rPr>
      </w:pPr>
      <w:r>
        <w:rPr>
          <w:rFonts w:ascii="Book Antiqua" w:hAnsi="Book Antiqua" w:cs="Arial"/>
          <w:color w:val="000000"/>
        </w:rPr>
        <w:t xml:space="preserve">Il ricorso proposto da </w:t>
      </w:r>
      <w:r>
        <w:rPr>
          <w:rFonts w:ascii="Book Antiqua" w:hAnsi="Book Antiqua"/>
        </w:rPr>
        <w:t xml:space="preserve">Abdelouahed El Housni </w:t>
      </w:r>
      <w:r>
        <w:rPr>
          <w:rFonts w:ascii="Book Antiqua" w:hAnsi="Book Antiqua" w:cs="Arial"/>
          <w:color w:val="000000"/>
        </w:rPr>
        <w:t xml:space="preserve">va di conseguenza esaminato esclusivamente con riguardo all’anno 2012. In questi limiti è nel merito fondato. </w:t>
      </w:r>
    </w:p>
    <w:p w:rsidR="00766087" w:rsidRDefault="00766087" w:rsidP="00D74205">
      <w:pPr>
        <w:jc w:val="both"/>
        <w:rPr>
          <w:rFonts w:ascii="Book Antiqua" w:hAnsi="Book Antiqua"/>
        </w:rPr>
      </w:pPr>
      <w:r>
        <w:rPr>
          <w:rFonts w:ascii="Book Antiqua" w:hAnsi="Book Antiqua" w:cs="Arial"/>
          <w:color w:val="000000"/>
        </w:rPr>
        <w:t xml:space="preserve">  E’ pacifico tra le parti ed è comunque documentato il fatto che </w:t>
      </w:r>
      <w:r>
        <w:rPr>
          <w:rFonts w:ascii="Book Antiqua" w:hAnsi="Book Antiqua"/>
        </w:rPr>
        <w:t xml:space="preserve">El Housni sia titolare di permesso per soggiornanti di lungo periodo [all. 7] e che in data 21.12.2009 sia nata la sua terza figlia. Neppure è controverso il requisito economico [all. 9-10] per accedere al beneficio. </w:t>
      </w:r>
    </w:p>
    <w:p w:rsidR="00766087" w:rsidRPr="00721C6B" w:rsidRDefault="00766087" w:rsidP="00D74205">
      <w:pPr>
        <w:jc w:val="both"/>
        <w:rPr>
          <w:rFonts w:ascii="Book Antiqua" w:hAnsi="Book Antiqua" w:cs="Arial"/>
          <w:color w:val="000000"/>
        </w:rPr>
      </w:pPr>
      <w:r>
        <w:rPr>
          <w:rFonts w:ascii="Book Antiqua" w:hAnsi="Book Antiqua"/>
        </w:rPr>
        <w:t xml:space="preserve">  Questo è previsto dalla legge 448/98 che l’ha introdotto all’art. 65, con effetto dall’1.1.99, “</w:t>
      </w:r>
      <w:r w:rsidRPr="006E7E24">
        <w:rPr>
          <w:rFonts w:ascii="Book Antiqua" w:hAnsi="Book Antiqua" w:cs="Times"/>
          <w:i/>
          <w:color w:val="000000"/>
        </w:rPr>
        <w:t>in favore dei nuclei familiari composti da cittadini italiani residenti, con tre o più figli tutti con età inferiore ai 18 anni, che risultino in possesso di risorse economiche non superiori al valore dell'indicatore della situazione economica (ISE)..</w:t>
      </w:r>
      <w:r>
        <w:rPr>
          <w:rFonts w:ascii="Book Antiqua" w:hAnsi="Book Antiqua" w:cs="Times"/>
          <w:color w:val="000000"/>
        </w:rPr>
        <w:t>”.</w:t>
      </w:r>
      <w:r w:rsidRPr="00721C6B">
        <w:rPr>
          <w:rFonts w:ascii="Book Antiqua" w:hAnsi="Book Antiqua"/>
        </w:rPr>
        <w:t xml:space="preserve"> </w:t>
      </w:r>
      <w:r>
        <w:rPr>
          <w:rFonts w:ascii="Book Antiqua" w:hAnsi="Book Antiqua" w:cs="Arial"/>
          <w:color w:val="000000"/>
        </w:rPr>
        <w:t>L’art. 80, quinto comma, l. 388/2000 ha esteso il diritto anche ai nuclei familiari composti da cittadini comunitari.</w:t>
      </w:r>
    </w:p>
    <w:p w:rsidR="00766087" w:rsidRDefault="00766087" w:rsidP="00D74205">
      <w:pPr>
        <w:jc w:val="both"/>
        <w:rPr>
          <w:rFonts w:ascii="Book Antiqua" w:hAnsi="Book Antiqua" w:cs="Arial"/>
          <w:color w:val="000000"/>
        </w:rPr>
      </w:pPr>
      <w:r>
        <w:rPr>
          <w:rFonts w:ascii="Book Antiqua" w:hAnsi="Book Antiqua" w:cs="Arial"/>
          <w:color w:val="000000"/>
        </w:rPr>
        <w:t xml:space="preserve">  Il ricorrente fonda la propria domanda sulla disciplina di fonte sovranazionale che, vietando discriminazioni nei confronti di cittadini stranieri e, prima ancora, di cittadini soggiornanti di lungo periodo, imporrebbe un’interpretazione conforme o, altrimenti, la disapplicazione delle disposizioni interne limitative del diritto sotto questo profilo. </w:t>
      </w:r>
    </w:p>
    <w:p w:rsidR="00766087" w:rsidRDefault="00766087" w:rsidP="00D74205">
      <w:pPr>
        <w:jc w:val="both"/>
        <w:rPr>
          <w:rFonts w:ascii="Book Antiqua" w:hAnsi="Book Antiqua" w:cs="Arial"/>
          <w:color w:val="000000"/>
        </w:rPr>
      </w:pPr>
      <w:r>
        <w:rPr>
          <w:rFonts w:ascii="Book Antiqua" w:hAnsi="Book Antiqua" w:cs="Arial"/>
          <w:color w:val="000000"/>
        </w:rPr>
        <w:t xml:space="preserve">  L’art. 11 della direttiva 2003/109/UE del 25.11.2003 (</w:t>
      </w:r>
      <w:r w:rsidRPr="00B900F6">
        <w:rPr>
          <w:rFonts w:ascii="Book Antiqua" w:hAnsi="Book Antiqua" w:cs="EUAlbertina-Bold"/>
          <w:bCs/>
        </w:rPr>
        <w:t xml:space="preserve">relativa allo </w:t>
      </w:r>
      <w:r w:rsidRPr="00B900F6">
        <w:rPr>
          <w:rFonts w:ascii="Book Antiqua" w:hAnsi="Book Antiqua" w:cs="EUAlbertina-Bold"/>
          <w:bCs/>
          <w:i/>
        </w:rPr>
        <w:t>status</w:t>
      </w:r>
      <w:r w:rsidRPr="00B900F6">
        <w:rPr>
          <w:rFonts w:ascii="Book Antiqua" w:hAnsi="Book Antiqua" w:cs="EUAlbertina-Bold"/>
          <w:bCs/>
        </w:rPr>
        <w:t xml:space="preserve"> dei cittadini di paesi terzi che siano soggiornanti di lungo periodo</w:t>
      </w:r>
      <w:r>
        <w:rPr>
          <w:rFonts w:ascii="Book Antiqua" w:hAnsi="Book Antiqua" w:cs="Arial"/>
          <w:color w:val="000000"/>
        </w:rPr>
        <w:t>), in particolare, stabilisce che “</w:t>
      </w:r>
      <w:r>
        <w:rPr>
          <w:rFonts w:ascii="Book Antiqua" w:hAnsi="Book Antiqua" w:cs="Arial"/>
          <w:i/>
          <w:color w:val="000000"/>
        </w:rPr>
        <w:t>il soggiornante di lungo periodo gode dello stesso trattamento del cittadino nazionale per quanto riguarda (..) le prestazioni sociali, l’assistenza sociale e la protezione sociale ai sensi della legislazione sociale</w:t>
      </w:r>
      <w:r>
        <w:rPr>
          <w:rFonts w:ascii="Book Antiqua" w:hAnsi="Book Antiqua" w:cs="Arial"/>
          <w:color w:val="000000"/>
        </w:rPr>
        <w:t>” (primo comma). Riconosce agli Stati membri la facoltà di “</w:t>
      </w:r>
      <w:r>
        <w:rPr>
          <w:rFonts w:ascii="Book Antiqua" w:hAnsi="Book Antiqua" w:cs="Arial"/>
          <w:i/>
          <w:color w:val="000000"/>
        </w:rPr>
        <w:t>limitare la parità di trattamento in materia di assistenza sociale e protezione sociale alle prestazioni essenziali</w:t>
      </w:r>
      <w:r>
        <w:rPr>
          <w:rFonts w:ascii="Book Antiqua" w:hAnsi="Book Antiqua" w:cs="Arial"/>
          <w:color w:val="000000"/>
        </w:rPr>
        <w:t>” (quarto comma).</w:t>
      </w:r>
    </w:p>
    <w:p w:rsidR="00766087" w:rsidRPr="005936DC" w:rsidRDefault="00766087" w:rsidP="005936DC">
      <w:pPr>
        <w:autoSpaceDE w:val="0"/>
        <w:autoSpaceDN w:val="0"/>
        <w:adjustRightInd w:val="0"/>
        <w:jc w:val="both"/>
        <w:rPr>
          <w:rFonts w:ascii="Book Antiqua" w:hAnsi="Book Antiqua" w:cs="Arial"/>
          <w:color w:val="000000"/>
        </w:rPr>
      </w:pPr>
      <w:r>
        <w:rPr>
          <w:rFonts w:ascii="Book Antiqua" w:hAnsi="Book Antiqua" w:cs="Arial"/>
          <w:color w:val="000000"/>
        </w:rPr>
        <w:t xml:space="preserve">  Il tredicesimo considerando della stessa direttiva precisa che, “</w:t>
      </w:r>
      <w:r>
        <w:rPr>
          <w:rFonts w:ascii="Book Antiqua" w:hAnsi="Book Antiqua" w:cs="EUAlbertina-Regu"/>
          <w:i/>
        </w:rPr>
        <w:t>c</w:t>
      </w:r>
      <w:r w:rsidRPr="005936DC">
        <w:rPr>
          <w:rFonts w:ascii="Book Antiqua" w:hAnsi="Book Antiqua" w:cs="EUAlbertina-Regu"/>
          <w:i/>
        </w:rPr>
        <w:t>on riferimento all'assistenza sociale, la possibilità di limitare le prestazioni per soggiornanti di lungo periodo a quelle essenziali deve intendersi nel senso che queste ultime comprendono almeno un sostegno di reddito minimo, l'assistenza in caso di malattia, di gravidanza,</w:t>
      </w:r>
      <w:r>
        <w:rPr>
          <w:rFonts w:ascii="Book Antiqua" w:hAnsi="Book Antiqua" w:cs="EUAlbertina-Regu"/>
          <w:i/>
        </w:rPr>
        <w:t xml:space="preserve"> </w:t>
      </w:r>
      <w:r w:rsidRPr="005936DC">
        <w:rPr>
          <w:rFonts w:ascii="Book Antiqua" w:hAnsi="Book Antiqua" w:cs="EUAlbertina-Regu"/>
          <w:i/>
        </w:rPr>
        <w:t>l'assistenza parentale e l'assistenza a lungo termine..</w:t>
      </w:r>
      <w:r w:rsidRPr="005936DC">
        <w:rPr>
          <w:rFonts w:ascii="Book Antiqua" w:hAnsi="Book Antiqua" w:cs="Arial"/>
          <w:color w:val="000000"/>
        </w:rPr>
        <w:t>”.</w:t>
      </w:r>
    </w:p>
    <w:p w:rsidR="00766087" w:rsidRDefault="00766087" w:rsidP="00D74205">
      <w:pPr>
        <w:jc w:val="both"/>
        <w:rPr>
          <w:rFonts w:ascii="Book Antiqua" w:hAnsi="Book Antiqua" w:cs="Arial"/>
          <w:color w:val="000000"/>
        </w:rPr>
      </w:pPr>
      <w:r>
        <w:rPr>
          <w:rFonts w:ascii="Book Antiqua" w:hAnsi="Book Antiqua" w:cs="Arial"/>
          <w:color w:val="000000"/>
        </w:rPr>
        <w:t xml:space="preserve">  Essa è stata trasposta nel nostro ordinamento interno col d. lgs 3/2007, che ha modificato il d. lgs 286/98 (cd. t.u. sull’immigrazione). Con l’art. 9, comma 12, lett. </w:t>
      </w:r>
      <w:r>
        <w:rPr>
          <w:rFonts w:ascii="Book Antiqua" w:hAnsi="Book Antiqua" w:cs="Arial"/>
          <w:i/>
          <w:color w:val="000000"/>
        </w:rPr>
        <w:t>c</w:t>
      </w:r>
      <w:r>
        <w:rPr>
          <w:rFonts w:ascii="Book Antiqua" w:hAnsi="Book Antiqua" w:cs="Arial"/>
          <w:color w:val="000000"/>
        </w:rPr>
        <w:t>), lo straniero titolare del permesso di soggiorno di lungo periodo è stato tra l’altro ammesso a godere “</w:t>
      </w:r>
      <w:r>
        <w:rPr>
          <w:rFonts w:ascii="Book Antiqua" w:hAnsi="Book Antiqua" w:cs="Arial"/>
          <w:i/>
          <w:color w:val="000000"/>
        </w:rPr>
        <w:t>delle prestazioni di assistenza sociale, di previdenza sociale .. salvo che sia diversamente disposto e sempre che sia dimostrata l’effettiva residenza dello straniero sul territorio nazionale</w:t>
      </w:r>
      <w:r>
        <w:rPr>
          <w:rFonts w:ascii="Book Antiqua" w:hAnsi="Book Antiqua" w:cs="Arial"/>
          <w:color w:val="000000"/>
        </w:rPr>
        <w:t>”.</w:t>
      </w:r>
    </w:p>
    <w:p w:rsidR="00766087" w:rsidRDefault="00766087" w:rsidP="00D74205">
      <w:pPr>
        <w:jc w:val="both"/>
        <w:rPr>
          <w:rFonts w:ascii="Book Antiqua" w:hAnsi="Book Antiqua" w:cs="Arial"/>
          <w:color w:val="000000"/>
        </w:rPr>
      </w:pPr>
      <w:r>
        <w:rPr>
          <w:rFonts w:ascii="Book Antiqua" w:hAnsi="Book Antiqua" w:cs="Arial"/>
          <w:color w:val="000000"/>
        </w:rPr>
        <w:t xml:space="preserve">  Orbene, il nostro legislatore non ha introdotto le limitazioni che l’art. 11, quarto comma, della direttiva consentiva. Il principio del tredicesimo considerando fa comprendere come l’assegno per i nuclei familiari con almeno tre figli rientri tra quelli essenziali secondo i principi dell’Unione, poiché è diretto al sostegno per il reddito ed all’assistenza familiare. Riconosce diritti strumentali a rapporti che hanno tutela diretta nella nostra legge fondamentale (artt. 29, primo comma, e 31, primo comma, Cost.).    </w:t>
      </w:r>
      <w:r>
        <w:rPr>
          <w:rFonts w:ascii="Book Antiqua" w:hAnsi="Book Antiqua" w:cs="Arial"/>
          <w:i/>
          <w:color w:val="000000"/>
        </w:rPr>
        <w:t xml:space="preserve"> </w:t>
      </w:r>
      <w:r>
        <w:rPr>
          <w:rFonts w:ascii="Book Antiqua" w:hAnsi="Book Antiqua" w:cs="Arial"/>
          <w:color w:val="000000"/>
        </w:rPr>
        <w:t xml:space="preserve">      </w:t>
      </w:r>
    </w:p>
    <w:p w:rsidR="00766087" w:rsidRDefault="00766087" w:rsidP="00D74205">
      <w:pPr>
        <w:jc w:val="both"/>
        <w:rPr>
          <w:rFonts w:ascii="Book Antiqua" w:hAnsi="Book Antiqua"/>
        </w:rPr>
      </w:pPr>
      <w:r w:rsidRPr="0094438F">
        <w:rPr>
          <w:rFonts w:ascii="Book Antiqua" w:hAnsi="Book Antiqua"/>
        </w:rPr>
        <w:t xml:space="preserve">   </w:t>
      </w:r>
      <w:r>
        <w:rPr>
          <w:rFonts w:ascii="Book Antiqua" w:hAnsi="Book Antiqua"/>
        </w:rPr>
        <w:t xml:space="preserve">La Corte di giustizia  europea  [grande sezione, 24 aprile 2012, causa c-571/10, </w:t>
      </w:r>
      <w:r>
        <w:rPr>
          <w:rFonts w:ascii="Book Antiqua" w:hAnsi="Book Antiqua"/>
          <w:i/>
        </w:rPr>
        <w:t>Kamberaj</w:t>
      </w:r>
      <w:r>
        <w:rPr>
          <w:rFonts w:ascii="Book Antiqua" w:hAnsi="Book Antiqua"/>
        </w:rPr>
        <w:t>]</w:t>
      </w:r>
      <w:r>
        <w:rPr>
          <w:rFonts w:ascii="Book Antiqua" w:hAnsi="Book Antiqua"/>
          <w:i/>
        </w:rPr>
        <w:t xml:space="preserve"> </w:t>
      </w:r>
      <w:r>
        <w:rPr>
          <w:rFonts w:ascii="Book Antiqua" w:hAnsi="Book Antiqua"/>
        </w:rPr>
        <w:t>ha del resto affermato che, “</w:t>
      </w:r>
      <w:r>
        <w:rPr>
          <w:rFonts w:ascii="Book Antiqua" w:hAnsi="Book Antiqua"/>
          <w:i/>
        </w:rPr>
        <w:t>dal momento che l’integrazione dei cittadini di paesi terzi stabilitisi a titolo duraturo negli Stati membri ed il diritto di tali cittadini al beneficio della parità di trattamento nei settori elencati all’art. 11, paragrafo 1, della direttiva 2003/109 costituiscono la regola generale, la deroga prevista al paragrafo 4 di tale articolo deve essere interpretata restrittivamente</w:t>
      </w:r>
      <w:r>
        <w:rPr>
          <w:rFonts w:ascii="Book Antiqua" w:hAnsi="Book Antiqua"/>
        </w:rPr>
        <w:t>”</w:t>
      </w:r>
      <w:r>
        <w:rPr>
          <w:rFonts w:ascii="Book Antiqua" w:hAnsi="Book Antiqua"/>
          <w:i/>
        </w:rPr>
        <w:t xml:space="preserve"> </w:t>
      </w:r>
      <w:r>
        <w:rPr>
          <w:rFonts w:ascii="Book Antiqua" w:hAnsi="Book Antiqua"/>
        </w:rPr>
        <w:t>[punto 86]; tale deroga può essere invocata “</w:t>
      </w:r>
      <w:r>
        <w:rPr>
          <w:rFonts w:ascii="Book Antiqua" w:hAnsi="Book Antiqua"/>
          <w:i/>
        </w:rPr>
        <w:t>unicamente qualora gli organi competenti dello Stato membro interessato per l’attuazione di tale direttiva abbiano chiaramente espresso l’intenzione di avvalersi della deroga suddetta</w:t>
      </w:r>
      <w:r>
        <w:rPr>
          <w:rFonts w:ascii="Book Antiqua" w:hAnsi="Book Antiqua"/>
        </w:rPr>
        <w:t>” [p. 87]; qualora un sussidio risponda alla finalità enunciata nell’art. 34 della Carta dei diritti fondamentali dell’Unione, “</w:t>
      </w:r>
      <w:r>
        <w:rPr>
          <w:rFonts w:ascii="Book Antiqua" w:hAnsi="Book Antiqua"/>
          <w:i/>
        </w:rPr>
        <w:t>non può non essere considerato, nell’ambito del diritto dell’Unione, come non compreso tra le prestazioni essenziali ai sensi dell’art. 11, paragrafo 4, della direttiva 2003/109</w:t>
      </w:r>
      <w:r>
        <w:rPr>
          <w:rFonts w:ascii="Book Antiqua" w:hAnsi="Book Antiqua"/>
        </w:rPr>
        <w:t>” [p. 92].</w:t>
      </w:r>
    </w:p>
    <w:p w:rsidR="00766087" w:rsidRDefault="00766087" w:rsidP="00D74205">
      <w:pPr>
        <w:jc w:val="both"/>
        <w:rPr>
          <w:rFonts w:ascii="Book Antiqua" w:hAnsi="Book Antiqua"/>
        </w:rPr>
      </w:pPr>
      <w:r>
        <w:rPr>
          <w:rFonts w:ascii="Book Antiqua" w:hAnsi="Book Antiqua"/>
        </w:rPr>
        <w:t xml:space="preserve">  Va rammentato che l’art. 6 del Trattato UE – così com’è stato riformulato dal Trattato di Lisbona in vigore dall’1.12.2009 – riconosce i diritti, le libertà e i principi sanciti nella Carta dei diritti fondamentali adottata il 12.12.2007. Si è detto che, pur nei limiti prefissati delle competenze definite nei trattati dell’Unione, la Carta è stata </w:t>
      </w:r>
      <w:r>
        <w:rPr>
          <w:rFonts w:ascii="Book Antiqua" w:hAnsi="Book Antiqua"/>
          <w:i/>
        </w:rPr>
        <w:t>comunitarizzata</w:t>
      </w:r>
      <w:r>
        <w:rPr>
          <w:rFonts w:ascii="Book Antiqua" w:hAnsi="Book Antiqua"/>
        </w:rPr>
        <w:t xml:space="preserve">. </w:t>
      </w:r>
    </w:p>
    <w:p w:rsidR="00766087" w:rsidRDefault="00766087" w:rsidP="00D74205">
      <w:pPr>
        <w:jc w:val="both"/>
        <w:rPr>
          <w:rFonts w:ascii="Book Antiqua" w:hAnsi="Book Antiqua"/>
        </w:rPr>
      </w:pPr>
      <w:r>
        <w:rPr>
          <w:rFonts w:ascii="Book Antiqua" w:hAnsi="Book Antiqua"/>
        </w:rPr>
        <w:t xml:space="preserve">  All’art. 34 essa riconosce, in conformità al diritto dell’Unione,  il “</w:t>
      </w:r>
      <w:r w:rsidRPr="00A8271A">
        <w:rPr>
          <w:rFonts w:ascii="Book Antiqua" w:hAnsi="Book Antiqua"/>
          <w:i/>
        </w:rPr>
        <w:t>diritto alle prestazioni di sicurezza sociale e ai benefici sociali</w:t>
      </w:r>
      <w:r>
        <w:rPr>
          <w:rFonts w:ascii="Book Antiqua" w:hAnsi="Book Antiqua"/>
        </w:rPr>
        <w:t>” a chiunque risieda o si sposti all’interno dei suoi Stati membri (comma secondo) nonché “</w:t>
      </w:r>
      <w:r w:rsidRPr="00A8271A">
        <w:rPr>
          <w:rFonts w:ascii="Book Antiqua" w:hAnsi="Book Antiqua"/>
          <w:i/>
        </w:rPr>
        <w:t>il diritto all’assistenza sociale .. volta a garantire un’esistenza dignitosa a tutti coloro che non dispongano di risorse sufficienti</w:t>
      </w:r>
      <w:r>
        <w:rPr>
          <w:rFonts w:ascii="Book Antiqua" w:hAnsi="Book Antiqua"/>
        </w:rPr>
        <w:t xml:space="preserve">” (comma terzo).   </w:t>
      </w:r>
    </w:p>
    <w:p w:rsidR="00766087" w:rsidRDefault="00766087" w:rsidP="00D74205">
      <w:pPr>
        <w:jc w:val="both"/>
        <w:rPr>
          <w:rFonts w:ascii="Book Antiqua" w:hAnsi="Book Antiqua"/>
        </w:rPr>
      </w:pPr>
      <w:r>
        <w:rPr>
          <w:rFonts w:ascii="Book Antiqua" w:hAnsi="Book Antiqua"/>
        </w:rPr>
        <w:t xml:space="preserve">  In quanto fondato sulla limitatezza delle risorse economiche dell’avente diritto, l’assegno su cui si controverte persegue dunque le finalità enunciate in queste disposizioni dell’art. 34 della Carta dei diritti fondamentali dell’UE. Ciò dà conferma del fatto che esso rientra tra le prestazioni essenziali, relativamente alle quali lo Stato italiano non poteva (e, si è visto, di fatto non ha inteso) avvalersi della facoltà di deroga prevista dall’art. 11, quarto comma, della direttiva 2003/109. </w:t>
      </w:r>
    </w:p>
    <w:p w:rsidR="00766087" w:rsidRDefault="00766087" w:rsidP="00D74205">
      <w:pPr>
        <w:jc w:val="both"/>
        <w:rPr>
          <w:rFonts w:ascii="Book Antiqua" w:hAnsi="Book Antiqua" w:cs="Arial"/>
          <w:color w:val="000000"/>
        </w:rPr>
      </w:pPr>
      <w:r>
        <w:rPr>
          <w:rFonts w:ascii="Book Antiqua" w:hAnsi="Book Antiqua"/>
        </w:rPr>
        <w:t xml:space="preserve">  Pertanto, un’interpretazione del combinato disposto degli artt. 65 l. 448/98 ed</w:t>
      </w:r>
      <w:r>
        <w:rPr>
          <w:rFonts w:ascii="Book Antiqua" w:hAnsi="Book Antiqua" w:cs="Arial"/>
          <w:color w:val="000000"/>
        </w:rPr>
        <w:t xml:space="preserve"> 80, quinto comma, l. 388/2000 in senso di esclusione dei cittadini non comunitari lungo soggiornanti nel territorio dello Stato si porrebbe in contrasto non solo con le regole dell’Unione, ma anche con la disciplina interna che le ha trasposte. </w:t>
      </w:r>
    </w:p>
    <w:p w:rsidR="00766087" w:rsidRDefault="00766087" w:rsidP="00A26F06">
      <w:pPr>
        <w:pStyle w:val="ListParagraph"/>
        <w:autoSpaceDE w:val="0"/>
        <w:autoSpaceDN w:val="0"/>
        <w:adjustRightInd w:val="0"/>
        <w:spacing w:after="0"/>
        <w:ind w:left="0"/>
        <w:rPr>
          <w:rFonts w:ascii="Book Antiqua" w:hAnsi="Book Antiqua"/>
          <w:sz w:val="24"/>
          <w:szCs w:val="24"/>
        </w:rPr>
      </w:pPr>
      <w:r w:rsidRPr="00A26F06">
        <w:rPr>
          <w:rFonts w:ascii="Book Antiqua" w:hAnsi="Book Antiqua" w:cs="Arial"/>
          <w:color w:val="000000"/>
          <w:sz w:val="24"/>
          <w:szCs w:val="24"/>
        </w:rPr>
        <w:t xml:space="preserve">  Occorre verificare se, </w:t>
      </w:r>
      <w:r>
        <w:rPr>
          <w:rFonts w:ascii="Book Antiqua" w:hAnsi="Book Antiqua" w:cs="Arial"/>
          <w:color w:val="000000"/>
          <w:sz w:val="24"/>
          <w:szCs w:val="24"/>
        </w:rPr>
        <w:t xml:space="preserve">rispetto a queste, </w:t>
      </w:r>
      <w:r w:rsidRPr="00A26F06">
        <w:rPr>
          <w:rFonts w:ascii="Book Antiqua" w:hAnsi="Book Antiqua" w:cs="Arial"/>
          <w:color w:val="000000"/>
          <w:sz w:val="24"/>
          <w:szCs w:val="24"/>
        </w:rPr>
        <w:t>sia possibile una lettura delle disposizioni predette conforme per ris</w:t>
      </w:r>
      <w:r>
        <w:rPr>
          <w:rFonts w:ascii="Book Antiqua" w:hAnsi="Book Antiqua" w:cs="Arial"/>
          <w:color w:val="000000"/>
          <w:sz w:val="24"/>
          <w:szCs w:val="24"/>
        </w:rPr>
        <w:t>olvere tale possibile antinomia</w:t>
      </w:r>
      <w:r w:rsidRPr="00A26F06">
        <w:rPr>
          <w:rFonts w:ascii="Book Antiqua" w:hAnsi="Book Antiqua" w:cs="Arial"/>
          <w:color w:val="000000"/>
          <w:sz w:val="24"/>
          <w:szCs w:val="24"/>
        </w:rPr>
        <w:t xml:space="preserve">. </w:t>
      </w:r>
      <w:r>
        <w:rPr>
          <w:rFonts w:ascii="Book Antiqua" w:hAnsi="Book Antiqua" w:cs="Arial"/>
          <w:color w:val="000000"/>
          <w:sz w:val="24"/>
          <w:szCs w:val="24"/>
        </w:rPr>
        <w:t xml:space="preserve">Tale operazione </w:t>
      </w:r>
      <w:r w:rsidRPr="00A26F06">
        <w:rPr>
          <w:rFonts w:ascii="Book Antiqua" w:hAnsi="Book Antiqua"/>
          <w:iCs/>
          <w:sz w:val="24"/>
          <w:szCs w:val="24"/>
        </w:rPr>
        <w:t>si fonda sull’obbligo per gli Stati membri, derivante da una direttiva, di conseguirne il risultato sulla base del testo e dello scopo</w:t>
      </w:r>
      <w:r>
        <w:rPr>
          <w:rFonts w:ascii="Book Antiqua" w:hAnsi="Book Antiqua"/>
          <w:iCs/>
          <w:sz w:val="24"/>
          <w:szCs w:val="24"/>
        </w:rPr>
        <w:t xml:space="preserve"> </w:t>
      </w:r>
      <w:r w:rsidRPr="00A26F06">
        <w:rPr>
          <w:rFonts w:ascii="Book Antiqua" w:hAnsi="Book Antiqua"/>
          <w:sz w:val="24"/>
          <w:szCs w:val="24"/>
        </w:rPr>
        <w:t>[v. già C</w:t>
      </w:r>
      <w:r>
        <w:rPr>
          <w:rFonts w:ascii="Book Antiqua" w:hAnsi="Book Antiqua"/>
          <w:sz w:val="24"/>
          <w:szCs w:val="24"/>
        </w:rPr>
        <w:t>orte giust.</w:t>
      </w:r>
      <w:r w:rsidRPr="00A26F06">
        <w:rPr>
          <w:rFonts w:ascii="Book Antiqua" w:hAnsi="Book Antiqua"/>
          <w:sz w:val="24"/>
          <w:szCs w:val="24"/>
        </w:rPr>
        <w:t xml:space="preserve">, 10 aprile 1984, causa c-14/83, </w:t>
      </w:r>
      <w:r w:rsidRPr="00A26F06">
        <w:rPr>
          <w:rFonts w:ascii="Book Antiqua" w:hAnsi="Book Antiqua"/>
          <w:i/>
          <w:sz w:val="24"/>
          <w:szCs w:val="24"/>
        </w:rPr>
        <w:t>Van Colson e Kamann</w:t>
      </w:r>
      <w:r w:rsidRPr="00A26F06">
        <w:rPr>
          <w:rFonts w:ascii="Book Antiqua" w:hAnsi="Book Antiqua"/>
          <w:sz w:val="24"/>
          <w:szCs w:val="24"/>
        </w:rPr>
        <w:t>; più recentemente</w:t>
      </w:r>
      <w:r>
        <w:rPr>
          <w:rFonts w:ascii="Book Antiqua" w:hAnsi="Book Antiqua"/>
          <w:sz w:val="24"/>
          <w:szCs w:val="24"/>
        </w:rPr>
        <w:t>, tra le tante,</w:t>
      </w:r>
      <w:r w:rsidRPr="00A26F06">
        <w:rPr>
          <w:rFonts w:ascii="Book Antiqua" w:hAnsi="Book Antiqua"/>
          <w:sz w:val="24"/>
          <w:szCs w:val="24"/>
        </w:rPr>
        <w:t xml:space="preserve"> 13 novembre 1990, causa c-106/89, </w:t>
      </w:r>
      <w:r w:rsidRPr="00A26F06">
        <w:rPr>
          <w:rFonts w:ascii="Book Antiqua" w:hAnsi="Book Antiqua"/>
          <w:i/>
          <w:sz w:val="24"/>
          <w:szCs w:val="24"/>
        </w:rPr>
        <w:t>Marleasing</w:t>
      </w:r>
      <w:r w:rsidRPr="00A26F06">
        <w:rPr>
          <w:rFonts w:ascii="Book Antiqua" w:hAnsi="Book Antiqua"/>
          <w:sz w:val="24"/>
          <w:szCs w:val="24"/>
        </w:rPr>
        <w:t xml:space="preserve">, 15 maggio 2003, causa c-160/01, </w:t>
      </w:r>
      <w:r w:rsidRPr="00A26F06">
        <w:rPr>
          <w:rFonts w:ascii="Book Antiqua" w:hAnsi="Book Antiqua"/>
          <w:i/>
          <w:sz w:val="24"/>
          <w:szCs w:val="24"/>
        </w:rPr>
        <w:t>Mau</w:t>
      </w:r>
      <w:r w:rsidRPr="00A26F06">
        <w:rPr>
          <w:rFonts w:ascii="Book Antiqua" w:hAnsi="Book Antiqua"/>
          <w:sz w:val="24"/>
          <w:szCs w:val="24"/>
        </w:rPr>
        <w:t xml:space="preserve">, e 4 luglio 2006, causa c-212/04, </w:t>
      </w:r>
      <w:r w:rsidRPr="00A26F06">
        <w:rPr>
          <w:rFonts w:ascii="Book Antiqua" w:hAnsi="Book Antiqua"/>
          <w:i/>
          <w:sz w:val="24"/>
          <w:szCs w:val="24"/>
        </w:rPr>
        <w:t>Adeneler</w:t>
      </w:r>
      <w:r w:rsidRPr="00A26F06">
        <w:rPr>
          <w:rFonts w:ascii="Book Antiqua" w:hAnsi="Book Antiqua"/>
          <w:sz w:val="24"/>
          <w:szCs w:val="24"/>
        </w:rPr>
        <w:t>]</w:t>
      </w:r>
      <w:r>
        <w:rPr>
          <w:rFonts w:ascii="Book Antiqua" w:hAnsi="Book Antiqua"/>
          <w:sz w:val="24"/>
          <w:szCs w:val="24"/>
        </w:rPr>
        <w:t xml:space="preserve">. </w:t>
      </w:r>
    </w:p>
    <w:p w:rsidR="00766087" w:rsidRDefault="00766087" w:rsidP="00A26F06">
      <w:pPr>
        <w:pStyle w:val="ListParagraph"/>
        <w:autoSpaceDE w:val="0"/>
        <w:autoSpaceDN w:val="0"/>
        <w:adjustRightInd w:val="0"/>
        <w:spacing w:after="0"/>
        <w:ind w:left="0"/>
        <w:rPr>
          <w:rFonts w:ascii="Book Antiqua" w:hAnsi="Book Antiqua"/>
          <w:iCs/>
          <w:sz w:val="24"/>
          <w:szCs w:val="24"/>
        </w:rPr>
      </w:pPr>
      <w:r>
        <w:rPr>
          <w:rFonts w:ascii="Book Antiqua" w:hAnsi="Book Antiqua"/>
          <w:sz w:val="24"/>
          <w:szCs w:val="24"/>
        </w:rPr>
        <w:t xml:space="preserve">  La Corte di giustizia dell’Unione, in particolare, chiede al giudice interno di </w:t>
      </w:r>
      <w:r w:rsidRPr="00A26F06">
        <w:rPr>
          <w:rFonts w:ascii="Book Antiqua" w:hAnsi="Book Antiqua"/>
          <w:iCs/>
          <w:sz w:val="24"/>
          <w:szCs w:val="24"/>
        </w:rPr>
        <w:t>adottare la presunzione</w:t>
      </w:r>
      <w:r w:rsidRPr="00A26F06">
        <w:rPr>
          <w:rFonts w:ascii="Book Antiqua" w:hAnsi="Book Antiqua"/>
          <w:i/>
          <w:iCs/>
          <w:sz w:val="24"/>
          <w:szCs w:val="24"/>
        </w:rPr>
        <w:t xml:space="preserve"> </w:t>
      </w:r>
      <w:r w:rsidRPr="00A26F06">
        <w:rPr>
          <w:rFonts w:ascii="Book Antiqua" w:hAnsi="Book Antiqua"/>
          <w:iCs/>
          <w:sz w:val="24"/>
          <w:szCs w:val="24"/>
        </w:rPr>
        <w:t xml:space="preserve">per cui lo Stato, avvalendosi della discrezionalità riconosciutagli dall’art. 288 </w:t>
      </w:r>
      <w:r>
        <w:rPr>
          <w:rFonts w:ascii="Book Antiqua" w:hAnsi="Book Antiqua"/>
          <w:iCs/>
          <w:sz w:val="24"/>
          <w:szCs w:val="24"/>
        </w:rPr>
        <w:t xml:space="preserve">del </w:t>
      </w:r>
      <w:r w:rsidRPr="00A26F06">
        <w:rPr>
          <w:rFonts w:ascii="Book Antiqua" w:hAnsi="Book Antiqua"/>
          <w:iCs/>
          <w:sz w:val="24"/>
          <w:szCs w:val="24"/>
        </w:rPr>
        <w:t>T</w:t>
      </w:r>
      <w:r>
        <w:rPr>
          <w:rFonts w:ascii="Book Antiqua" w:hAnsi="Book Antiqua"/>
          <w:iCs/>
          <w:sz w:val="24"/>
          <w:szCs w:val="24"/>
        </w:rPr>
        <w:t>rattato fondativo U.E.</w:t>
      </w:r>
      <w:r w:rsidRPr="00A26F06">
        <w:rPr>
          <w:rFonts w:ascii="Book Antiqua" w:hAnsi="Book Antiqua"/>
          <w:iCs/>
          <w:sz w:val="24"/>
          <w:szCs w:val="24"/>
        </w:rPr>
        <w:t>, abbia avuto l’intenzione di adempiere pienamente gli obblighi della direttiva considerata</w:t>
      </w:r>
      <w:r>
        <w:rPr>
          <w:rFonts w:ascii="Book Antiqua" w:hAnsi="Book Antiqua"/>
          <w:iCs/>
          <w:sz w:val="24"/>
          <w:szCs w:val="24"/>
        </w:rPr>
        <w:t xml:space="preserve"> nel caso di specie.</w:t>
      </w:r>
    </w:p>
    <w:p w:rsidR="00766087" w:rsidRPr="009D1D79" w:rsidRDefault="00766087" w:rsidP="009D1D79">
      <w:pPr>
        <w:autoSpaceDE w:val="0"/>
        <w:autoSpaceDN w:val="0"/>
        <w:adjustRightInd w:val="0"/>
        <w:jc w:val="both"/>
        <w:rPr>
          <w:rFonts w:ascii="Book Antiqua" w:hAnsi="Book Antiqua" w:cs="Times"/>
          <w:bCs/>
          <w:color w:val="000000"/>
        </w:rPr>
      </w:pPr>
      <w:r>
        <w:rPr>
          <w:rFonts w:ascii="Book Antiqua" w:hAnsi="Book Antiqua"/>
          <w:iCs/>
        </w:rPr>
        <w:t xml:space="preserve">  I</w:t>
      </w:r>
      <w:r w:rsidRPr="009D1D79">
        <w:rPr>
          <w:rFonts w:ascii="Book Antiqua" w:hAnsi="Book Antiqua"/>
          <w:iCs/>
        </w:rPr>
        <w:t>l principio dell’int</w:t>
      </w:r>
      <w:r>
        <w:rPr>
          <w:rFonts w:ascii="Book Antiqua" w:hAnsi="Book Antiqua"/>
          <w:iCs/>
        </w:rPr>
        <w:t>erpretazione</w:t>
      </w:r>
      <w:r w:rsidRPr="009D1D79">
        <w:rPr>
          <w:rFonts w:ascii="Book Antiqua" w:hAnsi="Book Antiqua"/>
          <w:iCs/>
        </w:rPr>
        <w:t xml:space="preserve"> conforme richiede che i giudici nazionali si adoperino al meglio nei limiti della loro competenza, prendendo in considerazione il diritto interno nella sua interezza e applicando i metodi interpretativi riconosciuti da quest’ultimo</w:t>
      </w:r>
      <w:r>
        <w:rPr>
          <w:rFonts w:ascii="Book Antiqua" w:hAnsi="Book Antiqua"/>
          <w:iCs/>
        </w:rPr>
        <w:t xml:space="preserve"> [cfr. anche </w:t>
      </w:r>
      <w:r w:rsidRPr="009D1D79">
        <w:rPr>
          <w:rFonts w:ascii="Book Antiqua" w:hAnsi="Book Antiqua" w:cs="Times"/>
          <w:bCs/>
          <w:color w:val="000000"/>
        </w:rPr>
        <w:t>C</w:t>
      </w:r>
      <w:r>
        <w:rPr>
          <w:rFonts w:ascii="Book Antiqua" w:hAnsi="Book Antiqua" w:cs="Times"/>
          <w:bCs/>
          <w:color w:val="000000"/>
        </w:rPr>
        <w:t>orte giust.</w:t>
      </w:r>
      <w:r w:rsidRPr="009D1D79">
        <w:rPr>
          <w:rFonts w:ascii="Book Antiqua" w:hAnsi="Book Antiqua" w:cs="Times"/>
          <w:bCs/>
          <w:color w:val="000000"/>
        </w:rPr>
        <w:t xml:space="preserve">, 15 aprile 2008, causa c-268/06, </w:t>
      </w:r>
      <w:r w:rsidRPr="009D1D79">
        <w:rPr>
          <w:rFonts w:ascii="Book Antiqua" w:hAnsi="Book Antiqua" w:cs="Times"/>
          <w:bCs/>
          <w:i/>
          <w:color w:val="000000"/>
        </w:rPr>
        <w:t>Impact</w:t>
      </w:r>
      <w:r>
        <w:rPr>
          <w:rFonts w:ascii="Book Antiqua" w:hAnsi="Book Antiqua" w:cs="Times"/>
          <w:bCs/>
          <w:i/>
          <w:color w:val="000000"/>
        </w:rPr>
        <w:t>,</w:t>
      </w:r>
      <w:r w:rsidRPr="009D1D79">
        <w:rPr>
          <w:rFonts w:ascii="Book Antiqua" w:hAnsi="Book Antiqua" w:cs="Times"/>
          <w:bCs/>
          <w:color w:val="000000"/>
        </w:rPr>
        <w:t xml:space="preserve"> p. 100</w:t>
      </w:r>
      <w:r>
        <w:rPr>
          <w:rFonts w:ascii="Book Antiqua" w:hAnsi="Book Antiqua" w:cs="Times"/>
          <w:bCs/>
          <w:color w:val="000000"/>
        </w:rPr>
        <w:t>].</w:t>
      </w:r>
    </w:p>
    <w:p w:rsidR="00766087" w:rsidRDefault="00766087" w:rsidP="009D1D79">
      <w:pPr>
        <w:pStyle w:val="NormalWeb"/>
        <w:spacing w:before="0" w:beforeAutospacing="0" w:after="0" w:afterAutospacing="0"/>
        <w:jc w:val="both"/>
        <w:rPr>
          <w:rFonts w:ascii="Book Antiqua" w:hAnsi="Book Antiqua"/>
        </w:rPr>
      </w:pPr>
      <w:r>
        <w:rPr>
          <w:rFonts w:ascii="Book Antiqua" w:hAnsi="Book Antiqua"/>
        </w:rPr>
        <w:t xml:space="preserve">  </w:t>
      </w:r>
      <w:r w:rsidRPr="00647446">
        <w:rPr>
          <w:rFonts w:ascii="Book Antiqua" w:hAnsi="Book Antiqua"/>
        </w:rPr>
        <w:t>A questo proposito, se il diritto nazionale, mediante l'applicazione di metodi di interpretazione da esso riconosciuti, in determinate circostanze consente di interpretare una norma dell'ordinamento giuridico interno in modo tale da evitare un conflitto con un'altra norma di diritto interno o di ridurre a tale scopo la portata di quella norma applicandola solamente nella misura compatibile con l'altra, il giudice ha l'obbligo di utilizzare gli stessi metodi al fine di ottenere il risultato perseguito dalla direttiva”</w:t>
      </w:r>
      <w:r>
        <w:rPr>
          <w:rFonts w:ascii="Book Antiqua" w:hAnsi="Book Antiqua"/>
        </w:rPr>
        <w:t xml:space="preserve"> </w:t>
      </w:r>
      <w:r w:rsidRPr="009D1D79">
        <w:rPr>
          <w:rFonts w:ascii="Book Antiqua" w:hAnsi="Book Antiqua"/>
        </w:rPr>
        <w:t xml:space="preserve">[cfr. CGUE, 5 ottobre 2004, c-397 e 403/01, </w:t>
      </w:r>
      <w:r w:rsidRPr="009D1D79">
        <w:rPr>
          <w:rFonts w:ascii="Book Antiqua" w:hAnsi="Book Antiqua"/>
          <w:i/>
        </w:rPr>
        <w:t>Pfeiffer</w:t>
      </w:r>
      <w:r w:rsidRPr="009D1D79">
        <w:rPr>
          <w:rFonts w:ascii="Book Antiqua" w:hAnsi="Book Antiqua"/>
        </w:rPr>
        <w:t>, p. 105 e 106 segg.].</w:t>
      </w:r>
    </w:p>
    <w:p w:rsidR="00766087" w:rsidRDefault="00766087" w:rsidP="009D1D79">
      <w:pPr>
        <w:pStyle w:val="NormalWeb"/>
        <w:spacing w:before="0" w:beforeAutospacing="0" w:after="0" w:afterAutospacing="0"/>
        <w:jc w:val="both"/>
        <w:rPr>
          <w:rFonts w:ascii="Book Antiqua" w:hAnsi="Book Antiqua" w:cs="Arial"/>
          <w:color w:val="000000"/>
        </w:rPr>
      </w:pPr>
      <w:r>
        <w:rPr>
          <w:rFonts w:ascii="Book Antiqua" w:hAnsi="Book Antiqua"/>
        </w:rPr>
        <w:t xml:space="preserve">  Nel caso in esame, la trasposizione della direttiva 109, avvenuta col d. lgs </w:t>
      </w:r>
      <w:r>
        <w:rPr>
          <w:rFonts w:ascii="Book Antiqua" w:hAnsi="Book Antiqua" w:cs="Arial"/>
          <w:color w:val="000000"/>
        </w:rPr>
        <w:t xml:space="preserve">3/2007, è  successiva alla disciplina di legge sull’assegno ai nuclei familiari con almeno tre figli. E’ così possibile ritenere che il legislatore nazionale abbia inteso allargarne ulteriormente l’area dei beneficiari, estendendola, dopo i cittadini dell’Unione, anche ai titolari di permesso di lungo soggiorno. Questa soluzione ermeneutica è del tutto aderente ai canoni interpretativi del nostro ordinamento e rende il combinato disposto </w:t>
      </w:r>
      <w:r>
        <w:rPr>
          <w:rFonts w:ascii="Book Antiqua" w:hAnsi="Book Antiqua"/>
        </w:rPr>
        <w:t>degli artt. 65 l. 448/98 ed</w:t>
      </w:r>
      <w:r>
        <w:rPr>
          <w:rFonts w:ascii="Book Antiqua" w:hAnsi="Book Antiqua" w:cs="Arial"/>
          <w:color w:val="000000"/>
        </w:rPr>
        <w:t xml:space="preserve"> 80, quinto comma, l. 388/2000 compatibile con la disciplina di carattere antidiscriminatorio, eliminandone il contrasto.</w:t>
      </w:r>
    </w:p>
    <w:p w:rsidR="00766087" w:rsidRDefault="00766087" w:rsidP="00AD6B47">
      <w:pPr>
        <w:pStyle w:val="NormalWeb"/>
        <w:spacing w:before="0" w:beforeAutospacing="0" w:after="0" w:afterAutospacing="0"/>
        <w:jc w:val="both"/>
        <w:rPr>
          <w:rFonts w:ascii="Book Antiqua" w:hAnsi="Book Antiqua" w:cs="Arial"/>
          <w:color w:val="000000"/>
        </w:rPr>
      </w:pPr>
      <w:r>
        <w:rPr>
          <w:rFonts w:ascii="Book Antiqua" w:hAnsi="Book Antiqua" w:cs="Arial"/>
          <w:color w:val="000000"/>
        </w:rPr>
        <w:t xml:space="preserve">  La portata decisiva degli argomenti esposti determina l’irrilevanza delle ulteriori eccezioni sollevate dalle parti resistenti. </w:t>
      </w:r>
    </w:p>
    <w:p w:rsidR="00766087" w:rsidRDefault="00766087" w:rsidP="009D1D79">
      <w:pPr>
        <w:pStyle w:val="NormalWeb"/>
        <w:spacing w:before="0" w:beforeAutospacing="0" w:after="0" w:afterAutospacing="0"/>
        <w:jc w:val="both"/>
        <w:rPr>
          <w:rFonts w:ascii="Book Antiqua" w:hAnsi="Book Antiqua" w:cs="Arial"/>
          <w:color w:val="000000"/>
        </w:rPr>
      </w:pPr>
      <w:r>
        <w:rPr>
          <w:rFonts w:ascii="Book Antiqua" w:hAnsi="Book Antiqua" w:cs="Arial"/>
          <w:color w:val="000000"/>
        </w:rPr>
        <w:t xml:space="preserve">  La riferita conclusione comporta il diritto del ricorrente all’assegno richiesto per l’anno 2012, nei limiti delle quote già maturate mensilmente.</w:t>
      </w:r>
    </w:p>
    <w:p w:rsidR="00766087" w:rsidRDefault="00766087" w:rsidP="009D1D79">
      <w:pPr>
        <w:pStyle w:val="NormalWeb"/>
        <w:spacing w:before="0" w:beforeAutospacing="0" w:after="0" w:afterAutospacing="0"/>
        <w:jc w:val="both"/>
        <w:rPr>
          <w:rFonts w:ascii="Book Antiqua" w:hAnsi="Book Antiqua" w:cs="Arial"/>
          <w:b/>
          <w:color w:val="000000"/>
        </w:rPr>
      </w:pPr>
    </w:p>
    <w:p w:rsidR="00766087" w:rsidRPr="00B56E9A" w:rsidRDefault="00766087" w:rsidP="009D1D79">
      <w:pPr>
        <w:pStyle w:val="NormalWeb"/>
        <w:spacing w:before="0" w:beforeAutospacing="0" w:after="0" w:afterAutospacing="0"/>
        <w:jc w:val="both"/>
        <w:rPr>
          <w:rFonts w:ascii="Book Antiqua" w:hAnsi="Book Antiqua" w:cs="Arial"/>
          <w:b/>
          <w:color w:val="000000"/>
        </w:rPr>
      </w:pPr>
      <w:r w:rsidRPr="00B56E9A">
        <w:rPr>
          <w:rFonts w:ascii="Book Antiqua" w:hAnsi="Book Antiqua" w:cs="Arial"/>
          <w:b/>
          <w:color w:val="000000"/>
        </w:rPr>
        <w:t>La legittimazione passiva dell’INPS e la responsabilità dei convenuti.</w:t>
      </w:r>
    </w:p>
    <w:p w:rsidR="00766087" w:rsidRDefault="00766087" w:rsidP="009D1D79">
      <w:pPr>
        <w:pStyle w:val="NormalWeb"/>
        <w:spacing w:before="0" w:beforeAutospacing="0" w:after="0" w:afterAutospacing="0"/>
        <w:jc w:val="both"/>
        <w:rPr>
          <w:rFonts w:ascii="Book Antiqua" w:hAnsi="Book Antiqua" w:cs="Arial"/>
          <w:color w:val="000000"/>
        </w:rPr>
      </w:pPr>
      <w:r>
        <w:rPr>
          <w:rFonts w:ascii="Book Antiqua" w:hAnsi="Book Antiqua" w:cs="Arial"/>
          <w:color w:val="000000"/>
        </w:rPr>
        <w:t xml:space="preserve">Il ricorrente ha assunto le proprie conclusioni nei confronti di entrambi i soggetti convenuti, qualificando l’Istituto come ente pagatore ed il Comune responsabile della raccolta degli elementi per accertare il diritto del cittadino richiedente.  </w:t>
      </w:r>
    </w:p>
    <w:p w:rsidR="00766087" w:rsidRDefault="00766087" w:rsidP="009D1D79">
      <w:pPr>
        <w:pStyle w:val="NormalWeb"/>
        <w:spacing w:before="0" w:beforeAutospacing="0" w:after="0" w:afterAutospacing="0"/>
        <w:jc w:val="both"/>
        <w:rPr>
          <w:rFonts w:ascii="Book Antiqua" w:hAnsi="Book Antiqua" w:cs="Arial"/>
          <w:color w:val="000000"/>
        </w:rPr>
      </w:pPr>
      <w:r>
        <w:rPr>
          <w:rFonts w:ascii="Book Antiqua" w:hAnsi="Book Antiqua" w:cs="Arial"/>
          <w:color w:val="000000"/>
        </w:rPr>
        <w:t xml:space="preserve">  L’INPS ha tuttavia eccepito la propria carenza di legittimazione, invocando in particolare le disposizioni del DM 452/2000 che ha dettato le modalità di attuazione delle norme di legge in materia di assegno per il nucleo familiare.</w:t>
      </w:r>
    </w:p>
    <w:p w:rsidR="00766087" w:rsidRDefault="00766087" w:rsidP="00D6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color w:val="000000"/>
        </w:rPr>
      </w:pPr>
      <w:r w:rsidRPr="00393284">
        <w:rPr>
          <w:rFonts w:ascii="Book Antiqua" w:hAnsi="Book Antiqua" w:cs="Arial"/>
          <w:color w:val="000000"/>
        </w:rPr>
        <w:t xml:space="preserve">  L’art. 14, quarto comma, </w:t>
      </w:r>
      <w:r w:rsidRPr="00393284">
        <w:rPr>
          <w:rFonts w:ascii="Book Antiqua" w:hAnsi="Book Antiqua" w:cs="Courier New"/>
          <w:color w:val="000000"/>
        </w:rPr>
        <w:t>del decreto conferma che, come già stabilito dal secondo comma dell’art. 65 l. 448/98, l’assegno è “</w:t>
      </w:r>
      <w:r w:rsidRPr="00393284">
        <w:rPr>
          <w:rFonts w:ascii="Book Antiqua" w:hAnsi="Book Antiqua" w:cs="Courier New"/>
          <w:i/>
          <w:color w:val="000000"/>
        </w:rPr>
        <w:t>concesso</w:t>
      </w:r>
      <w:r w:rsidRPr="00393284">
        <w:rPr>
          <w:rFonts w:ascii="Book Antiqua" w:hAnsi="Book Antiqua" w:cs="Courier New"/>
          <w:color w:val="000000"/>
        </w:rPr>
        <w:t>” dall’Amministrazione comunale; il successivo art. 18 precisa i contenuti del “</w:t>
      </w:r>
      <w:r w:rsidRPr="00393284">
        <w:rPr>
          <w:rFonts w:ascii="Book Antiqua" w:hAnsi="Book Antiqua" w:cs="Courier New"/>
          <w:i/>
          <w:color w:val="000000"/>
        </w:rPr>
        <w:t>provvedimento</w:t>
      </w:r>
      <w:r w:rsidRPr="00393284">
        <w:rPr>
          <w:rFonts w:ascii="Book Antiqua" w:hAnsi="Book Antiqua" w:cs="Courier New"/>
          <w:color w:val="000000"/>
        </w:rPr>
        <w:t>” con cui essa ne determina la spettanza e dell’accertamento preventivo sulla titolarità dei requisiti da parte del soggetto che ne abbia fatto richiesta.</w:t>
      </w:r>
    </w:p>
    <w:p w:rsidR="00766087" w:rsidRDefault="00766087" w:rsidP="00D6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color w:val="000000"/>
        </w:rPr>
      </w:pPr>
      <w:r>
        <w:rPr>
          <w:rFonts w:ascii="Book Antiqua" w:hAnsi="Book Antiqua" w:cs="Courier New"/>
          <w:color w:val="000000"/>
        </w:rPr>
        <w:t xml:space="preserve">  Ai sensi dell’art. 19 dello stesso DM, però, l’INPS è non soltanto l’ente pagatore (primo comma), presso cui sono trasferite apposite risorse finanziarie (art. 22), ma il soggetto cui è demandato l’accertamento di un eventuale cumulo con altri benefici ed è rimessa la segnalazione al Comune dell’eventuale incompatibilità perché provveda alla revoca (secondo comma).</w:t>
      </w:r>
    </w:p>
    <w:p w:rsidR="00766087" w:rsidRDefault="00766087" w:rsidP="00D6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color w:val="000000"/>
        </w:rPr>
      </w:pPr>
      <w:r>
        <w:rPr>
          <w:rFonts w:ascii="Book Antiqua" w:hAnsi="Book Antiqua" w:cs="Courier New"/>
          <w:color w:val="000000"/>
        </w:rPr>
        <w:t xml:space="preserve">  Questa duplice funzione porta ad escludere che l’Istituto convenuto sia un mero </w:t>
      </w:r>
      <w:r>
        <w:rPr>
          <w:rFonts w:ascii="Book Antiqua" w:hAnsi="Book Antiqua" w:cs="Courier New"/>
          <w:i/>
          <w:color w:val="000000"/>
        </w:rPr>
        <w:t>adiectus solutionis causa</w:t>
      </w:r>
      <w:r>
        <w:rPr>
          <w:rFonts w:ascii="Book Antiqua" w:hAnsi="Book Antiqua" w:cs="Courier New"/>
          <w:color w:val="000000"/>
        </w:rPr>
        <w:t>, così come ha sostenuto la sua difesa. Né può ascriversi rilievo decisivo contrario alla norma dell’art. 18, terzo comma, DM 452/2000, che qualifica il Comune “</w:t>
      </w:r>
      <w:r>
        <w:rPr>
          <w:rFonts w:ascii="Book Antiqua" w:hAnsi="Book Antiqua" w:cs="Courier New"/>
          <w:i/>
          <w:color w:val="000000"/>
        </w:rPr>
        <w:t>ente erogatore</w:t>
      </w:r>
      <w:r>
        <w:rPr>
          <w:rFonts w:ascii="Book Antiqua" w:hAnsi="Book Antiqua" w:cs="Courier New"/>
          <w:color w:val="000000"/>
        </w:rPr>
        <w:t>” ai soli fini del controllo sulla variazione della situazione economica dei soggetti e dei nuclei familiari sul proprio territorio (art. 3 d. lgs 109/98).</w:t>
      </w:r>
    </w:p>
    <w:p w:rsidR="00766087" w:rsidRPr="00B63D93" w:rsidRDefault="00766087" w:rsidP="00D6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color w:val="000000"/>
        </w:rPr>
      </w:pPr>
      <w:r>
        <w:rPr>
          <w:rFonts w:ascii="Book Antiqua" w:hAnsi="Book Antiqua" w:cs="Courier New"/>
          <w:color w:val="000000"/>
        </w:rPr>
        <w:t xml:space="preserve">  A riprova della sua responsabilità v’è l’incontestata predisposizione, da parte dell’INPS, di pubbliche informative che negano il diritto all’assegno in favore dei cittadini non comunitari; tra questi il ricorrente ha indicato specificamente il suo sito </w:t>
      </w:r>
      <w:r>
        <w:rPr>
          <w:rFonts w:ascii="Book Antiqua" w:hAnsi="Book Antiqua" w:cs="Courier New"/>
          <w:i/>
          <w:color w:val="000000"/>
        </w:rPr>
        <w:t>internet</w:t>
      </w:r>
      <w:r>
        <w:rPr>
          <w:rFonts w:ascii="Book Antiqua" w:hAnsi="Book Antiqua" w:cs="Courier New"/>
          <w:color w:val="000000"/>
        </w:rPr>
        <w:t>, di cui ha depositato un estratto cartaceo [all. 11 ric.].</w:t>
      </w:r>
    </w:p>
    <w:p w:rsidR="00766087" w:rsidRDefault="00766087" w:rsidP="00D6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color w:val="000000"/>
        </w:rPr>
      </w:pPr>
      <w:r>
        <w:rPr>
          <w:rFonts w:ascii="Book Antiqua" w:hAnsi="Book Antiqua" w:cs="Courier New"/>
          <w:color w:val="000000"/>
        </w:rPr>
        <w:t xml:space="preserve">  In ragione dei riferiti elementi l’accertamento del diritto del ricorrente è stato chiesto correttamente anche nei confronti dell’INPS. Va dunque condannato al pari del Comune di Savignone a corrispondere l’assegno per l’anno 2012, con gli interessi legali dalla data di maturazione e sino al saldo. </w:t>
      </w:r>
    </w:p>
    <w:p w:rsidR="00766087" w:rsidRDefault="00766087" w:rsidP="00D6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color w:val="000000"/>
        </w:rPr>
      </w:pPr>
      <w:r>
        <w:rPr>
          <w:rFonts w:ascii="Book Antiqua" w:hAnsi="Book Antiqua" w:cs="Courier New"/>
          <w:color w:val="000000"/>
        </w:rPr>
        <w:t xml:space="preserve">  I due soggetti pubblici sono tenuti a provvedere nell’ambito delle rispettive funzioni in materia. In questo modo viene rimosso il risultato della posizione discriminatoria tenuta nei confronti del ricorrente, al quale si deve porre fine. </w:t>
      </w:r>
    </w:p>
    <w:p w:rsidR="00766087" w:rsidRDefault="00766087" w:rsidP="00D6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color w:val="000000"/>
        </w:rPr>
      </w:pPr>
      <w:r>
        <w:rPr>
          <w:rFonts w:ascii="Book Antiqua" w:hAnsi="Book Antiqua" w:cs="Courier New"/>
          <w:color w:val="000000"/>
        </w:rPr>
        <w:t xml:space="preserve">  Oltre all’eccezione di difetto di legittimazione passiva va disattesa anche la domanda proposta dall’INPS in manleva verso l’ente comunale, giacché l’Istituto ha pienamente resistito in causa ed è il soggetto tenuto al pagamento.    </w:t>
      </w:r>
    </w:p>
    <w:p w:rsidR="00766087" w:rsidRDefault="00766087" w:rsidP="009D1D79">
      <w:pPr>
        <w:pStyle w:val="NormalWeb"/>
        <w:spacing w:before="0" w:beforeAutospacing="0" w:after="0" w:afterAutospacing="0"/>
        <w:jc w:val="both"/>
        <w:rPr>
          <w:rFonts w:ascii="Book Antiqua" w:hAnsi="Book Antiqua" w:cs="Arial"/>
          <w:color w:val="000000"/>
        </w:rPr>
      </w:pPr>
      <w:r>
        <w:rPr>
          <w:rFonts w:ascii="Book Antiqua" w:hAnsi="Book Antiqua" w:cs="Arial"/>
          <w:color w:val="000000"/>
        </w:rPr>
        <w:t xml:space="preserve">  La parziale soccombenza di entrambe le Amministrazioni comporta che esse siano tenute a rifondere il ricorrente delle spese del presente procedimento nella misura dei 2/3, misura che si liquida come da dispositivo, in importo da ritenersi già comprensivo della percentuale forfetaria (12,5%) per spese generali. Esso va distratto a favore dei difensori, che si sono dichiarati antistatali.</w:t>
      </w:r>
    </w:p>
    <w:p w:rsidR="00766087" w:rsidRDefault="00766087" w:rsidP="009D1D79">
      <w:pPr>
        <w:pStyle w:val="NormalWeb"/>
        <w:spacing w:before="0" w:beforeAutospacing="0" w:after="0" w:afterAutospacing="0"/>
        <w:jc w:val="both"/>
        <w:rPr>
          <w:sz w:val="28"/>
          <w:szCs w:val="28"/>
        </w:rPr>
      </w:pPr>
      <w:r>
        <w:rPr>
          <w:rFonts w:ascii="Book Antiqua" w:hAnsi="Book Antiqua" w:cs="Arial"/>
          <w:color w:val="000000"/>
        </w:rPr>
        <w:t xml:space="preserve">  La frazione residua si compensa tra tutte le parti.    </w:t>
      </w:r>
      <w:r>
        <w:rPr>
          <w:rFonts w:ascii="Book Antiqua" w:hAnsi="Book Antiqua"/>
        </w:rPr>
        <w:t xml:space="preserve"> </w:t>
      </w:r>
      <w:r w:rsidRPr="009138D0">
        <w:rPr>
          <w:sz w:val="28"/>
          <w:szCs w:val="28"/>
        </w:rPr>
        <w:t xml:space="preserve"> </w:t>
      </w:r>
    </w:p>
    <w:p w:rsidR="00766087" w:rsidRPr="00220443" w:rsidRDefault="00766087" w:rsidP="009D1D79">
      <w:pPr>
        <w:pStyle w:val="NormalWeb"/>
        <w:spacing w:before="0" w:beforeAutospacing="0" w:after="0" w:afterAutospacing="0"/>
        <w:jc w:val="both"/>
        <w:rPr>
          <w:b/>
          <w:sz w:val="28"/>
          <w:szCs w:val="28"/>
        </w:rPr>
      </w:pPr>
    </w:p>
    <w:p w:rsidR="00766087" w:rsidRPr="00477B8B" w:rsidRDefault="00766087">
      <w:pPr>
        <w:jc w:val="center"/>
        <w:rPr>
          <w:rFonts w:ascii="Book Antiqua" w:hAnsi="Book Antiqua"/>
          <w:b/>
        </w:rPr>
      </w:pPr>
      <w:r w:rsidRPr="00477B8B">
        <w:rPr>
          <w:rFonts w:ascii="Book Antiqua" w:hAnsi="Book Antiqua"/>
          <w:b/>
        </w:rPr>
        <w:t>P.Q.M.</w:t>
      </w:r>
    </w:p>
    <w:p w:rsidR="00766087" w:rsidRPr="00477B8B" w:rsidRDefault="00766087">
      <w:pPr>
        <w:jc w:val="both"/>
        <w:rPr>
          <w:rFonts w:ascii="Book Antiqua" w:hAnsi="Book Antiqua"/>
        </w:rPr>
      </w:pPr>
    </w:p>
    <w:p w:rsidR="00766087" w:rsidRPr="00B965E2" w:rsidRDefault="00766087" w:rsidP="00477B8B">
      <w:pPr>
        <w:pStyle w:val="ListParagraph"/>
        <w:numPr>
          <w:ilvl w:val="0"/>
          <w:numId w:val="2"/>
        </w:numPr>
        <w:rPr>
          <w:rFonts w:ascii="Book Antiqua" w:hAnsi="Book Antiqua"/>
          <w:sz w:val="24"/>
          <w:szCs w:val="24"/>
        </w:rPr>
      </w:pPr>
      <w:r w:rsidRPr="00B965E2">
        <w:rPr>
          <w:rFonts w:ascii="Book Antiqua" w:hAnsi="Book Antiqua"/>
          <w:sz w:val="24"/>
          <w:szCs w:val="24"/>
        </w:rPr>
        <w:t>dichiara il diritto di Abdelouahed El Housni  a percepire per l’anno 2012 l’assegno per il nucleo familiare con almeno tre figli condanna il Comune di Savignone e l’INPS a corrisponderle, nei limiti delle rispettive competenze, per le quote già maturate, cessando la condotta discriminatoria nei suoi confronti;</w:t>
      </w:r>
    </w:p>
    <w:p w:rsidR="00766087" w:rsidRPr="00B965E2" w:rsidRDefault="00766087" w:rsidP="00477B8B">
      <w:pPr>
        <w:pStyle w:val="ListParagraph"/>
        <w:numPr>
          <w:ilvl w:val="0"/>
          <w:numId w:val="2"/>
        </w:numPr>
        <w:rPr>
          <w:rFonts w:ascii="Book Antiqua" w:hAnsi="Book Antiqua"/>
          <w:sz w:val="24"/>
          <w:szCs w:val="24"/>
        </w:rPr>
      </w:pPr>
      <w:r w:rsidRPr="00B965E2">
        <w:rPr>
          <w:rFonts w:ascii="Book Antiqua" w:hAnsi="Book Antiqua"/>
          <w:sz w:val="24"/>
          <w:szCs w:val="24"/>
        </w:rPr>
        <w:t>respinge le domande del ricorrente relative agli anni 2010 e 2011 e la domanda di risarcimento del danno;</w:t>
      </w:r>
    </w:p>
    <w:p w:rsidR="00766087" w:rsidRDefault="00766087" w:rsidP="00477B8B">
      <w:pPr>
        <w:pStyle w:val="ListParagraph"/>
        <w:numPr>
          <w:ilvl w:val="0"/>
          <w:numId w:val="2"/>
        </w:numPr>
        <w:rPr>
          <w:rFonts w:ascii="Book Antiqua" w:hAnsi="Book Antiqua"/>
          <w:sz w:val="24"/>
          <w:szCs w:val="24"/>
        </w:rPr>
      </w:pPr>
      <w:r w:rsidRPr="00B965E2">
        <w:rPr>
          <w:rFonts w:ascii="Book Antiqua" w:hAnsi="Book Antiqua"/>
          <w:sz w:val="24"/>
          <w:szCs w:val="24"/>
        </w:rPr>
        <w:t xml:space="preserve">condanna il Comune di Savignone e l’INPS, in persona dei rispettivi legali rappresentanti, a rifondere il ricorrente delle spese del procedimento nella misura dei 2/3, misura liquidata in complessivi € 2.700,00, oltre a IVA e cpa, </w:t>
      </w:r>
      <w:r>
        <w:rPr>
          <w:rFonts w:ascii="Book Antiqua" w:hAnsi="Book Antiqua"/>
          <w:sz w:val="24"/>
          <w:szCs w:val="24"/>
        </w:rPr>
        <w:t>con distrazione a favore degli avv. A. Guariso e L. Neri;</w:t>
      </w:r>
    </w:p>
    <w:p w:rsidR="00766087" w:rsidRPr="00B965E2" w:rsidRDefault="00766087" w:rsidP="00477B8B">
      <w:pPr>
        <w:pStyle w:val="ListParagraph"/>
        <w:numPr>
          <w:ilvl w:val="0"/>
          <w:numId w:val="2"/>
        </w:numPr>
        <w:rPr>
          <w:rFonts w:ascii="Book Antiqua" w:hAnsi="Book Antiqua"/>
          <w:sz w:val="24"/>
          <w:szCs w:val="24"/>
        </w:rPr>
      </w:pPr>
      <w:r w:rsidRPr="00B965E2">
        <w:rPr>
          <w:rFonts w:ascii="Book Antiqua" w:hAnsi="Book Antiqua"/>
          <w:sz w:val="24"/>
          <w:szCs w:val="24"/>
        </w:rPr>
        <w:t xml:space="preserve">compensa tra le parti la frazione residua. </w:t>
      </w:r>
    </w:p>
    <w:p w:rsidR="00766087" w:rsidRPr="00B965E2" w:rsidRDefault="00766087">
      <w:pPr>
        <w:jc w:val="both"/>
        <w:rPr>
          <w:rFonts w:ascii="Book Antiqua" w:hAnsi="Book Antiqua"/>
        </w:rPr>
      </w:pPr>
      <w:r w:rsidRPr="00B965E2">
        <w:rPr>
          <w:rFonts w:ascii="Book Antiqua" w:hAnsi="Book Antiqua"/>
        </w:rPr>
        <w:t xml:space="preserve">Si comunichi. </w:t>
      </w:r>
    </w:p>
    <w:p w:rsidR="00766087" w:rsidRDefault="00766087">
      <w:pPr>
        <w:jc w:val="both"/>
        <w:rPr>
          <w:rFonts w:ascii="Book Antiqua" w:hAnsi="Book Antiqua"/>
        </w:rPr>
      </w:pPr>
    </w:p>
    <w:p w:rsidR="00766087" w:rsidRDefault="00766087">
      <w:pPr>
        <w:jc w:val="both"/>
        <w:rPr>
          <w:rFonts w:ascii="Book Antiqua" w:hAnsi="Book Antiqua"/>
        </w:rPr>
      </w:pPr>
      <w:r>
        <w:rPr>
          <w:rFonts w:ascii="Book Antiqua" w:hAnsi="Book Antiqua"/>
        </w:rPr>
        <w:t xml:space="preserve">  Genova, 24 settembre 2012</w:t>
      </w:r>
    </w:p>
    <w:p w:rsidR="00766087" w:rsidRDefault="00766087">
      <w:pPr>
        <w:jc w:val="both"/>
        <w:rPr>
          <w:rFonts w:ascii="Book Antiqua" w:hAnsi="Book Antiqua"/>
          <w:b/>
        </w:rPr>
      </w:pPr>
      <w:r>
        <w:rPr>
          <w:rFonts w:ascii="Book Antiqua" w:hAnsi="Book Antiqua"/>
        </w:rPr>
        <w:t xml:space="preserve">                                                                                                              </w:t>
      </w:r>
      <w:r>
        <w:rPr>
          <w:rFonts w:ascii="Book Antiqua" w:hAnsi="Book Antiqua"/>
          <w:b/>
        </w:rPr>
        <w:t>IL GIUDICE</w:t>
      </w:r>
    </w:p>
    <w:p w:rsidR="00766087" w:rsidRDefault="00766087">
      <w:pPr>
        <w:jc w:val="both"/>
        <w:rPr>
          <w:rFonts w:ascii="Book Antiqua" w:hAnsi="Book Antiqua"/>
        </w:rPr>
      </w:pPr>
      <w:r>
        <w:rPr>
          <w:rFonts w:ascii="Book Antiqua" w:hAnsi="Book Antiqua"/>
        </w:rPr>
        <w:t xml:space="preserve">                                                                                                           Marcello Basilico</w:t>
      </w:r>
    </w:p>
    <w:sectPr w:rsidR="00766087" w:rsidSect="00667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0000000000000000000"/>
    <w:charset w:val="00"/>
    <w:family w:val="roman"/>
    <w:notTrueType/>
    <w:pitch w:val="variable"/>
    <w:sig w:usb0="00000003" w:usb1="00000000" w:usb2="00000000" w:usb3="00000000" w:csb0="00000001" w:csb1="00000000"/>
  </w:font>
  <w:font w:name="EUAlbertina-Bold">
    <w:panose1 w:val="00000000000000000000"/>
    <w:charset w:val="00"/>
    <w:family w:val="auto"/>
    <w:notTrueType/>
    <w:pitch w:val="default"/>
    <w:sig w:usb0="00000003" w:usb1="00000000" w:usb2="00000000" w:usb3="00000000" w:csb0="00000001" w:csb1="00000000"/>
  </w:font>
  <w:font w:name="EUAlbertina-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45A6"/>
    <w:multiLevelType w:val="hybridMultilevel"/>
    <w:tmpl w:val="9B604DAE"/>
    <w:lvl w:ilvl="0" w:tplc="6E2E6F12">
      <w:start w:val="1"/>
      <w:numFmt w:val="lowerLetter"/>
      <w:lvlText w:val="%1)"/>
      <w:lvlJc w:val="left"/>
      <w:pPr>
        <w:ind w:left="720" w:hanging="360"/>
      </w:pPr>
      <w:rPr>
        <w:rFonts w:cs="Times New Roman"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84955EC"/>
    <w:multiLevelType w:val="hybridMultilevel"/>
    <w:tmpl w:val="9B92DC2E"/>
    <w:lvl w:ilvl="0" w:tplc="25E2D5D2">
      <w:start w:val="16"/>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382B"/>
    <w:rsid w:val="000E68BA"/>
    <w:rsid w:val="000F5BCB"/>
    <w:rsid w:val="00193691"/>
    <w:rsid w:val="00195F9C"/>
    <w:rsid w:val="001B01CC"/>
    <w:rsid w:val="00220443"/>
    <w:rsid w:val="0025595E"/>
    <w:rsid w:val="002700A3"/>
    <w:rsid w:val="00271E9B"/>
    <w:rsid w:val="002A6944"/>
    <w:rsid w:val="002D0BB9"/>
    <w:rsid w:val="00393284"/>
    <w:rsid w:val="003A184D"/>
    <w:rsid w:val="004157AD"/>
    <w:rsid w:val="00477B8B"/>
    <w:rsid w:val="00480DA4"/>
    <w:rsid w:val="00504E10"/>
    <w:rsid w:val="00510F40"/>
    <w:rsid w:val="005936DC"/>
    <w:rsid w:val="005A49E7"/>
    <w:rsid w:val="00610E51"/>
    <w:rsid w:val="00644945"/>
    <w:rsid w:val="00647446"/>
    <w:rsid w:val="00652D2D"/>
    <w:rsid w:val="006671CD"/>
    <w:rsid w:val="006C44BB"/>
    <w:rsid w:val="006D3475"/>
    <w:rsid w:val="006E13B8"/>
    <w:rsid w:val="006E7E24"/>
    <w:rsid w:val="00721C6B"/>
    <w:rsid w:val="00736C39"/>
    <w:rsid w:val="0076583F"/>
    <w:rsid w:val="00766087"/>
    <w:rsid w:val="00777228"/>
    <w:rsid w:val="007907AF"/>
    <w:rsid w:val="007B275F"/>
    <w:rsid w:val="008A382B"/>
    <w:rsid w:val="008D53C2"/>
    <w:rsid w:val="009138D0"/>
    <w:rsid w:val="00936200"/>
    <w:rsid w:val="0094438F"/>
    <w:rsid w:val="009D1D79"/>
    <w:rsid w:val="00A26F06"/>
    <w:rsid w:val="00A8271A"/>
    <w:rsid w:val="00AC1DE4"/>
    <w:rsid w:val="00AD6B47"/>
    <w:rsid w:val="00B31744"/>
    <w:rsid w:val="00B542FC"/>
    <w:rsid w:val="00B56E9A"/>
    <w:rsid w:val="00B63D93"/>
    <w:rsid w:val="00B900F6"/>
    <w:rsid w:val="00B965E2"/>
    <w:rsid w:val="00D66A0C"/>
    <w:rsid w:val="00D74205"/>
    <w:rsid w:val="00D9205C"/>
    <w:rsid w:val="00E672F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C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671CD"/>
    <w:rPr>
      <w:rFonts w:cs="Times New Roman"/>
      <w:color w:val="0000FF"/>
      <w:u w:val="single"/>
    </w:rPr>
  </w:style>
  <w:style w:type="character" w:customStyle="1" w:styleId="label">
    <w:name w:val="label"/>
    <w:basedOn w:val="DefaultParagraphFont"/>
    <w:uiPriority w:val="99"/>
    <w:rsid w:val="006671CD"/>
    <w:rPr>
      <w:rFonts w:cs="Times New Roman"/>
      <w:i/>
      <w:iCs/>
    </w:rPr>
  </w:style>
  <w:style w:type="character" w:customStyle="1" w:styleId="key-hit">
    <w:name w:val="key-hit"/>
    <w:basedOn w:val="DefaultParagraphFont"/>
    <w:uiPriority w:val="99"/>
    <w:rsid w:val="006671CD"/>
    <w:rPr>
      <w:rFonts w:cs="Times New Roman"/>
      <w:color w:val="FF0000"/>
    </w:rPr>
  </w:style>
  <w:style w:type="paragraph" w:customStyle="1" w:styleId="lisciorigagrande">
    <w:name w:val="liscio riga grande"/>
    <w:basedOn w:val="Normal"/>
    <w:uiPriority w:val="99"/>
    <w:rsid w:val="006671CD"/>
    <w:pPr>
      <w:spacing w:before="100" w:beforeAutospacing="1" w:after="100" w:afterAutospacing="1"/>
    </w:pPr>
    <w:rPr>
      <w:rFonts w:ascii="Arial Unicode MS" w:eastAsia="Arial Unicode MS" w:hAnsi="Arial Unicode MS" w:cs="Arial Unicode MS"/>
    </w:rPr>
  </w:style>
  <w:style w:type="character" w:customStyle="1" w:styleId="risultato">
    <w:name w:val="risultato"/>
    <w:basedOn w:val="DefaultParagraphFont"/>
    <w:uiPriority w:val="99"/>
    <w:rsid w:val="006671CD"/>
    <w:rPr>
      <w:rFonts w:cs="Times New Roman"/>
    </w:rPr>
  </w:style>
  <w:style w:type="paragraph" w:customStyle="1" w:styleId="liscioriga">
    <w:name w:val="liscio riga"/>
    <w:basedOn w:val="Normal"/>
    <w:uiPriority w:val="99"/>
    <w:rsid w:val="006671CD"/>
    <w:pPr>
      <w:spacing w:before="100" w:beforeAutospacing="1" w:after="100" w:afterAutospacing="1"/>
    </w:pPr>
    <w:rPr>
      <w:rFonts w:ascii="Arial Unicode MS" w:eastAsia="Arial Unicode MS" w:hAnsi="Arial Unicode MS" w:cs="Arial Unicode MS"/>
    </w:rPr>
  </w:style>
  <w:style w:type="paragraph" w:customStyle="1" w:styleId="liscioindentato">
    <w:name w:val="liscio indentato"/>
    <w:basedOn w:val="Normal"/>
    <w:uiPriority w:val="99"/>
    <w:rsid w:val="006671CD"/>
    <w:pPr>
      <w:spacing w:before="100" w:beforeAutospacing="1" w:after="100" w:afterAutospacing="1"/>
    </w:pPr>
    <w:rPr>
      <w:rFonts w:ascii="Arial Unicode MS" w:eastAsia="Arial Unicode MS" w:hAnsi="Arial Unicode MS" w:cs="Arial Unicode MS"/>
    </w:rPr>
  </w:style>
  <w:style w:type="paragraph" w:styleId="NormalWeb">
    <w:name w:val="Normal (Web)"/>
    <w:basedOn w:val="Normal"/>
    <w:uiPriority w:val="99"/>
    <w:rsid w:val="006671CD"/>
    <w:pPr>
      <w:spacing w:before="100" w:beforeAutospacing="1" w:after="100" w:afterAutospacing="1"/>
    </w:pPr>
    <w:rPr>
      <w:rFonts w:ascii="Arial Unicode MS" w:eastAsia="Arial Unicode MS" w:hAnsi="Arial Unicode MS" w:cs="Arial Unicode MS"/>
    </w:rPr>
  </w:style>
  <w:style w:type="character" w:customStyle="1" w:styleId="liscioriga1">
    <w:name w:val="liscio riga1"/>
    <w:basedOn w:val="DefaultParagraphFont"/>
    <w:uiPriority w:val="99"/>
    <w:rsid w:val="006671CD"/>
    <w:rPr>
      <w:rFonts w:cs="Times New Roman"/>
    </w:rPr>
  </w:style>
  <w:style w:type="paragraph" w:customStyle="1" w:styleId="liscioindentatodiscorsoindentatostampa">
    <w:name w:val="liscio indentato discorso indentatostampa"/>
    <w:basedOn w:val="Normal"/>
    <w:uiPriority w:val="99"/>
    <w:rsid w:val="006671CD"/>
    <w:pPr>
      <w:spacing w:before="100" w:beforeAutospacing="1" w:after="100" w:afterAutospacing="1"/>
    </w:pPr>
    <w:rPr>
      <w:rFonts w:ascii="Arial Unicode MS" w:eastAsia="Arial Unicode MS" w:hAnsi="Arial Unicode MS" w:cs="Arial Unicode MS"/>
    </w:rPr>
  </w:style>
  <w:style w:type="paragraph" w:customStyle="1" w:styleId="lisciodiscorsoitalicostampa">
    <w:name w:val="liscio discorso italicostampa"/>
    <w:basedOn w:val="Normal"/>
    <w:uiPriority w:val="99"/>
    <w:rsid w:val="006671CD"/>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99"/>
    <w:semiHidden/>
    <w:rsid w:val="006671CD"/>
    <w:pPr>
      <w:jc w:val="both"/>
    </w:pPr>
    <w:rPr>
      <w:rFonts w:ascii="Book Antiqua" w:hAnsi="Book Antiqua"/>
    </w:rPr>
  </w:style>
  <w:style w:type="character" w:customStyle="1" w:styleId="BodyTextChar">
    <w:name w:val="Body Text Char"/>
    <w:basedOn w:val="DefaultParagraphFont"/>
    <w:link w:val="BodyText"/>
    <w:uiPriority w:val="99"/>
    <w:semiHidden/>
    <w:rsid w:val="00237B4B"/>
    <w:rPr>
      <w:sz w:val="24"/>
      <w:szCs w:val="24"/>
    </w:rPr>
  </w:style>
  <w:style w:type="paragraph" w:styleId="ListParagraph">
    <w:name w:val="List Paragraph"/>
    <w:basedOn w:val="Normal"/>
    <w:uiPriority w:val="99"/>
    <w:qFormat/>
    <w:rsid w:val="00A26F06"/>
    <w:pPr>
      <w:spacing w:after="200"/>
      <w:ind w:left="720"/>
      <w:contextualSpacing/>
      <w:jc w:val="both"/>
    </w:pPr>
    <w:rPr>
      <w:rFonts w:ascii="Calibri" w:hAnsi="Calibri"/>
      <w:sz w:val="22"/>
      <w:szCs w:val="22"/>
      <w:lang w:eastAsia="en-US"/>
    </w:rPr>
  </w:style>
  <w:style w:type="paragraph" w:styleId="BalloonText">
    <w:name w:val="Balloon Text"/>
    <w:basedOn w:val="Normal"/>
    <w:link w:val="BalloonTextChar"/>
    <w:uiPriority w:val="99"/>
    <w:semiHidden/>
    <w:rsid w:val="000E68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68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3484921">
      <w:marLeft w:val="0"/>
      <w:marRight w:val="0"/>
      <w:marTop w:val="0"/>
      <w:marBottom w:val="0"/>
      <w:divBdr>
        <w:top w:val="none" w:sz="0" w:space="0" w:color="auto"/>
        <w:left w:val="none" w:sz="0" w:space="0" w:color="auto"/>
        <w:bottom w:val="none" w:sz="0" w:space="0" w:color="auto"/>
        <w:right w:val="none" w:sz="0" w:space="0" w:color="auto"/>
      </w:divBdr>
      <w:divsChild>
        <w:div w:id="993484919">
          <w:marLeft w:val="0"/>
          <w:marRight w:val="0"/>
          <w:marTop w:val="0"/>
          <w:marBottom w:val="0"/>
          <w:divBdr>
            <w:top w:val="none" w:sz="0" w:space="0" w:color="auto"/>
            <w:left w:val="none" w:sz="0" w:space="0" w:color="auto"/>
            <w:bottom w:val="none" w:sz="0" w:space="0" w:color="auto"/>
            <w:right w:val="none" w:sz="0" w:space="0" w:color="auto"/>
          </w:divBdr>
          <w:divsChild>
            <w:div w:id="993484918">
              <w:marLeft w:val="0"/>
              <w:marRight w:val="0"/>
              <w:marTop w:val="0"/>
              <w:marBottom w:val="0"/>
              <w:divBdr>
                <w:top w:val="none" w:sz="0" w:space="0" w:color="auto"/>
                <w:left w:val="none" w:sz="0" w:space="0" w:color="auto"/>
                <w:bottom w:val="none" w:sz="0" w:space="0" w:color="auto"/>
                <w:right w:val="none" w:sz="0" w:space="0" w:color="auto"/>
              </w:divBdr>
              <w:divsChild>
                <w:div w:id="9934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2958</Words>
  <Characters>16865</Characters>
  <Application>Microsoft Office Outlook</Application>
  <DocSecurity>0</DocSecurity>
  <Lines>0</Lines>
  <Paragraphs>0</Paragraphs>
  <ScaleCrop>false</ScaleCrop>
  <Company>Tribunale di Genova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dc:title>
  <dc:subject/>
  <dc:creator>basilico</dc:creator>
  <cp:keywords/>
  <dc:description/>
  <cp:lastModifiedBy>Utente</cp:lastModifiedBy>
  <cp:revision>2</cp:revision>
  <cp:lastPrinted>2012-09-25T05:52:00Z</cp:lastPrinted>
  <dcterms:created xsi:type="dcterms:W3CDTF">2012-09-25T16:20:00Z</dcterms:created>
  <dcterms:modified xsi:type="dcterms:W3CDTF">2012-09-25T16:20:00Z</dcterms:modified>
</cp:coreProperties>
</file>