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80" w:rsidRPr="00392980" w:rsidRDefault="00392980" w:rsidP="00392980">
      <w:pPr>
        <w:spacing w:after="0" w:line="240" w:lineRule="auto"/>
        <w:rPr>
          <w:rFonts w:ascii="Times New Roman" w:eastAsia="Times New Roman" w:hAnsi="Times New Roman" w:cs="Times New Roman"/>
          <w:sz w:val="24"/>
          <w:szCs w:val="24"/>
          <w:lang w:eastAsia="it-IT"/>
        </w:rPr>
      </w:pPr>
      <w:r w:rsidRPr="00392980">
        <w:rPr>
          <w:rFonts w:ascii="Times New Roman" w:eastAsia="Times New Roman" w:hAnsi="Times New Roman" w:cs="Times New Roman"/>
          <w:sz w:val="24"/>
          <w:szCs w:val="24"/>
          <w:lang w:eastAsia="it-IT"/>
        </w:rPr>
        <w:t xml:space="preserve">CA227 </w:t>
      </w:r>
      <w:bookmarkStart w:id="0" w:name="_GoBack"/>
      <w:bookmarkEnd w:id="0"/>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185"/>
        <w:gridCol w:w="8408"/>
        <w:gridCol w:w="45"/>
      </w:tblGrid>
      <w:tr w:rsidR="00392980" w:rsidRPr="00392980" w:rsidTr="00392980">
        <w:trPr>
          <w:gridAfter w:val="1"/>
          <w:tblCellSpacing w:w="15" w:type="dxa"/>
        </w:trPr>
        <w:tc>
          <w:tcPr>
            <w:tcW w:w="250" w:type="pct"/>
            <w:vMerge w:val="restart"/>
            <w:hideMark/>
          </w:tcPr>
          <w:p w:rsidR="00392980" w:rsidRPr="00392980" w:rsidRDefault="00392980" w:rsidP="00392980">
            <w:pPr>
              <w:spacing w:after="0" w:line="240" w:lineRule="auto"/>
              <w:rPr>
                <w:rFonts w:ascii="Times New Roman" w:eastAsia="Times New Roman" w:hAnsi="Times New Roman" w:cs="Times New Roman"/>
                <w:sz w:val="24"/>
                <w:szCs w:val="24"/>
                <w:lang w:eastAsia="it-IT"/>
              </w:rPr>
            </w:pPr>
            <w:r w:rsidRPr="00392980">
              <w:rPr>
                <w:rFonts w:ascii="Times New Roman" w:eastAsia="Times New Roman" w:hAnsi="Times New Roman" w:cs="Times New Roman"/>
                <w:noProof/>
                <w:color w:val="0000FF"/>
                <w:sz w:val="24"/>
                <w:szCs w:val="24"/>
                <w:lang w:eastAsia="it-IT"/>
              </w:rPr>
              <w:drawing>
                <wp:inline distT="0" distB="0" distL="0" distR="0">
                  <wp:extent cx="685800" cy="800100"/>
                  <wp:effectExtent l="0" t="0" r="0" b="0"/>
                  <wp:docPr id="1" name="Immagine 1" descr="BAILII">
                    <a:hlinkClick xmlns:a="http://schemas.openxmlformats.org/drawingml/2006/main" r:id="rId4" tooltip="&quot;BAILII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LII">
                            <a:hlinkClick r:id="rId4" tooltip="&quot;BAILII Home Pag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tc>
        <w:tc>
          <w:tcPr>
            <w:tcW w:w="3000" w:type="pct"/>
            <w:hideMark/>
          </w:tcPr>
          <w:p w:rsidR="00392980" w:rsidRPr="00392980" w:rsidRDefault="00392980" w:rsidP="00392980">
            <w:pPr>
              <w:spacing w:after="0" w:line="240" w:lineRule="auto"/>
              <w:rPr>
                <w:rFonts w:ascii="Times New Roman" w:eastAsia="Times New Roman" w:hAnsi="Times New Roman" w:cs="Times New Roman"/>
                <w:sz w:val="24"/>
                <w:szCs w:val="24"/>
                <w:lang w:val="en-GB" w:eastAsia="it-IT"/>
              </w:rPr>
            </w:pPr>
            <w:r w:rsidRPr="00392980">
              <w:rPr>
                <w:rFonts w:ascii="Times New Roman" w:eastAsia="Times New Roman" w:hAnsi="Times New Roman" w:cs="Times New Roman"/>
                <w:sz w:val="24"/>
                <w:szCs w:val="24"/>
                <w:lang w:val="en-GB" w:eastAsia="it-IT"/>
              </w:rPr>
              <w:t>[</w:t>
            </w:r>
            <w:hyperlink r:id="rId6" w:history="1">
              <w:r w:rsidRPr="00392980">
                <w:rPr>
                  <w:rFonts w:ascii="Times New Roman" w:eastAsia="Times New Roman" w:hAnsi="Times New Roman" w:cs="Times New Roman"/>
                  <w:color w:val="0000FF"/>
                  <w:sz w:val="24"/>
                  <w:szCs w:val="24"/>
                  <w:u w:val="single"/>
                  <w:lang w:val="en-GB" w:eastAsia="it-IT"/>
                </w:rPr>
                <w:t>Home</w:t>
              </w:r>
            </w:hyperlink>
            <w:r w:rsidRPr="00392980">
              <w:rPr>
                <w:rFonts w:ascii="Times New Roman" w:eastAsia="Times New Roman" w:hAnsi="Times New Roman" w:cs="Times New Roman"/>
                <w:sz w:val="24"/>
                <w:szCs w:val="24"/>
                <w:lang w:val="en-GB" w:eastAsia="it-IT"/>
              </w:rPr>
              <w:t>] [</w:t>
            </w:r>
            <w:hyperlink r:id="rId7" w:history="1">
              <w:r w:rsidRPr="00392980">
                <w:rPr>
                  <w:rFonts w:ascii="Times New Roman" w:eastAsia="Times New Roman" w:hAnsi="Times New Roman" w:cs="Times New Roman"/>
                  <w:color w:val="0000FF"/>
                  <w:sz w:val="24"/>
                  <w:szCs w:val="24"/>
                  <w:u w:val="single"/>
                  <w:lang w:val="en-GB" w:eastAsia="it-IT"/>
                </w:rPr>
                <w:t>Databases</w:t>
              </w:r>
            </w:hyperlink>
            <w:r w:rsidRPr="00392980">
              <w:rPr>
                <w:rFonts w:ascii="Times New Roman" w:eastAsia="Times New Roman" w:hAnsi="Times New Roman" w:cs="Times New Roman"/>
                <w:sz w:val="24"/>
                <w:szCs w:val="24"/>
                <w:lang w:val="en-GB" w:eastAsia="it-IT"/>
              </w:rPr>
              <w:t>] [</w:t>
            </w:r>
            <w:hyperlink r:id="rId8" w:history="1">
              <w:r w:rsidRPr="00392980">
                <w:rPr>
                  <w:rFonts w:ascii="Times New Roman" w:eastAsia="Times New Roman" w:hAnsi="Times New Roman" w:cs="Times New Roman"/>
                  <w:color w:val="0000FF"/>
                  <w:sz w:val="24"/>
                  <w:szCs w:val="24"/>
                  <w:u w:val="single"/>
                  <w:lang w:val="en-GB" w:eastAsia="it-IT"/>
                </w:rPr>
                <w:t>World Law</w:t>
              </w:r>
            </w:hyperlink>
            <w:r w:rsidRPr="00392980">
              <w:rPr>
                <w:rFonts w:ascii="Times New Roman" w:eastAsia="Times New Roman" w:hAnsi="Times New Roman" w:cs="Times New Roman"/>
                <w:sz w:val="24"/>
                <w:szCs w:val="24"/>
                <w:lang w:val="en-GB" w:eastAsia="it-IT"/>
              </w:rPr>
              <w:t>] [</w:t>
            </w:r>
            <w:hyperlink r:id="rId9" w:history="1">
              <w:r w:rsidRPr="00392980">
                <w:rPr>
                  <w:rFonts w:ascii="Times New Roman" w:eastAsia="Times New Roman" w:hAnsi="Times New Roman" w:cs="Times New Roman"/>
                  <w:color w:val="0000FF"/>
                  <w:sz w:val="24"/>
                  <w:szCs w:val="24"/>
                  <w:u w:val="single"/>
                  <w:lang w:val="en-GB" w:eastAsia="it-IT"/>
                </w:rPr>
                <w:t>Multidatabase Search</w:t>
              </w:r>
            </w:hyperlink>
            <w:r w:rsidRPr="00392980">
              <w:rPr>
                <w:rFonts w:ascii="Times New Roman" w:eastAsia="Times New Roman" w:hAnsi="Times New Roman" w:cs="Times New Roman"/>
                <w:sz w:val="24"/>
                <w:szCs w:val="24"/>
                <w:lang w:val="en-GB" w:eastAsia="it-IT"/>
              </w:rPr>
              <w:t>] [</w:t>
            </w:r>
            <w:hyperlink r:id="rId10" w:history="1">
              <w:r w:rsidRPr="00392980">
                <w:rPr>
                  <w:rFonts w:ascii="Times New Roman" w:eastAsia="Times New Roman" w:hAnsi="Times New Roman" w:cs="Times New Roman"/>
                  <w:color w:val="0000FF"/>
                  <w:sz w:val="24"/>
                  <w:szCs w:val="24"/>
                  <w:u w:val="single"/>
                  <w:lang w:val="en-GB" w:eastAsia="it-IT"/>
                </w:rPr>
                <w:t>Help</w:t>
              </w:r>
            </w:hyperlink>
            <w:r w:rsidRPr="00392980">
              <w:rPr>
                <w:rFonts w:ascii="Times New Roman" w:eastAsia="Times New Roman" w:hAnsi="Times New Roman" w:cs="Times New Roman"/>
                <w:sz w:val="24"/>
                <w:szCs w:val="24"/>
                <w:lang w:val="en-GB" w:eastAsia="it-IT"/>
              </w:rPr>
              <w:t>] [</w:t>
            </w:r>
            <w:hyperlink r:id="rId11" w:history="1">
              <w:r w:rsidRPr="00392980">
                <w:rPr>
                  <w:rFonts w:ascii="Times New Roman" w:eastAsia="Times New Roman" w:hAnsi="Times New Roman" w:cs="Times New Roman"/>
                  <w:color w:val="0000FF"/>
                  <w:sz w:val="24"/>
                  <w:szCs w:val="24"/>
                  <w:u w:val="single"/>
                  <w:lang w:val="en-GB" w:eastAsia="it-IT"/>
                </w:rPr>
                <w:t>Feedback</w:t>
              </w:r>
            </w:hyperlink>
            <w:r w:rsidRPr="00392980">
              <w:rPr>
                <w:rFonts w:ascii="Times New Roman" w:eastAsia="Times New Roman" w:hAnsi="Times New Roman" w:cs="Times New Roman"/>
                <w:sz w:val="24"/>
                <w:szCs w:val="24"/>
                <w:lang w:val="en-GB" w:eastAsia="it-IT"/>
              </w:rPr>
              <w:t xml:space="preserve">] </w:t>
            </w:r>
          </w:p>
        </w:tc>
      </w:tr>
      <w:tr w:rsidR="00392980" w:rsidRPr="00392980" w:rsidTr="00392980">
        <w:trPr>
          <w:gridAfter w:val="1"/>
          <w:tblCellSpacing w:w="15" w:type="dxa"/>
        </w:trPr>
        <w:tc>
          <w:tcPr>
            <w:tcW w:w="0" w:type="auto"/>
            <w:vMerge/>
            <w:vAlign w:val="center"/>
            <w:hideMark/>
          </w:tcPr>
          <w:p w:rsidR="00392980" w:rsidRPr="00392980" w:rsidRDefault="00392980" w:rsidP="00392980">
            <w:pPr>
              <w:spacing w:after="0" w:line="240" w:lineRule="auto"/>
              <w:rPr>
                <w:rFonts w:ascii="Times New Roman" w:eastAsia="Times New Roman" w:hAnsi="Times New Roman" w:cs="Times New Roman"/>
                <w:sz w:val="24"/>
                <w:szCs w:val="24"/>
                <w:lang w:val="en-GB" w:eastAsia="it-IT"/>
              </w:rPr>
            </w:pPr>
          </w:p>
        </w:tc>
        <w:tc>
          <w:tcPr>
            <w:tcW w:w="0" w:type="auto"/>
            <w:vAlign w:val="center"/>
            <w:hideMark/>
          </w:tcPr>
          <w:p w:rsidR="00392980" w:rsidRPr="00392980" w:rsidRDefault="00392980" w:rsidP="00392980">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392980">
              <w:rPr>
                <w:rFonts w:ascii="Times New Roman" w:eastAsia="Times New Roman" w:hAnsi="Times New Roman" w:cs="Times New Roman"/>
                <w:b/>
                <w:bCs/>
                <w:kern w:val="36"/>
                <w:sz w:val="48"/>
                <w:szCs w:val="48"/>
                <w:lang w:eastAsia="it-IT"/>
              </w:rPr>
              <w:t>Irish Court of Appeal</w:t>
            </w:r>
          </w:p>
        </w:tc>
      </w:tr>
      <w:tr w:rsidR="00392980" w:rsidRPr="00392980" w:rsidTr="00392980">
        <w:trPr>
          <w:tblCellSpacing w:w="15" w:type="dxa"/>
        </w:trPr>
        <w:tc>
          <w:tcPr>
            <w:tcW w:w="0" w:type="auto"/>
            <w:gridSpan w:val="3"/>
            <w:vAlign w:val="center"/>
            <w:hideMark/>
          </w:tcPr>
          <w:p w:rsidR="00392980" w:rsidRPr="00392980" w:rsidRDefault="00392980" w:rsidP="00392980">
            <w:pPr>
              <w:spacing w:after="0" w:line="240" w:lineRule="auto"/>
              <w:rPr>
                <w:rFonts w:ascii="Times New Roman" w:eastAsia="Times New Roman" w:hAnsi="Times New Roman" w:cs="Times New Roman"/>
                <w:sz w:val="24"/>
                <w:szCs w:val="24"/>
                <w:lang w:eastAsia="it-IT"/>
              </w:rPr>
            </w:pPr>
            <w:r w:rsidRPr="00392980">
              <w:rPr>
                <w:rFonts w:ascii="Times New Roman" w:eastAsia="Times New Roman" w:hAnsi="Times New Roman" w:cs="Times New Roman"/>
                <w:sz w:val="24"/>
                <w:szCs w:val="24"/>
                <w:lang w:eastAsia="it-IT"/>
              </w:rPr>
              <w:pict>
                <v:rect id="_x0000_i1025" style="width:0;height:1.5pt" o:hralign="center" o:hrstd="t" o:hr="t" fillcolor="#a0a0a0" stroked="f"/>
              </w:pict>
            </w:r>
          </w:p>
          <w:p w:rsidR="00392980" w:rsidRPr="00392980" w:rsidRDefault="00392980" w:rsidP="00392980">
            <w:pPr>
              <w:spacing w:after="0" w:line="240" w:lineRule="auto"/>
              <w:rPr>
                <w:rFonts w:ascii="Times New Roman" w:eastAsia="Times New Roman" w:hAnsi="Times New Roman" w:cs="Times New Roman"/>
                <w:sz w:val="24"/>
                <w:szCs w:val="24"/>
                <w:lang w:val="en-GB" w:eastAsia="it-IT"/>
              </w:rPr>
            </w:pPr>
            <w:r w:rsidRPr="00392980">
              <w:rPr>
                <w:rFonts w:ascii="Times New Roman" w:eastAsia="Times New Roman" w:hAnsi="Times New Roman" w:cs="Times New Roman"/>
                <w:b/>
                <w:bCs/>
                <w:sz w:val="20"/>
                <w:szCs w:val="20"/>
                <w:lang w:val="en-GB" w:eastAsia="it-IT"/>
              </w:rPr>
              <w:t>You are here:</w:t>
            </w:r>
            <w:r w:rsidRPr="00392980">
              <w:rPr>
                <w:rFonts w:ascii="Times New Roman" w:eastAsia="Times New Roman" w:hAnsi="Times New Roman" w:cs="Times New Roman"/>
                <w:sz w:val="20"/>
                <w:szCs w:val="20"/>
                <w:lang w:val="en-GB" w:eastAsia="it-IT"/>
              </w:rPr>
              <w:t xml:space="preserve"> </w:t>
            </w:r>
            <w:hyperlink r:id="rId12" w:history="1">
              <w:r w:rsidRPr="00392980">
                <w:rPr>
                  <w:rFonts w:ascii="Times New Roman" w:eastAsia="Times New Roman" w:hAnsi="Times New Roman" w:cs="Times New Roman"/>
                  <w:color w:val="0000FF"/>
                  <w:sz w:val="20"/>
                  <w:szCs w:val="20"/>
                  <w:u w:val="single"/>
                  <w:lang w:val="en-GB" w:eastAsia="it-IT"/>
                </w:rPr>
                <w:t>BAILII</w:t>
              </w:r>
            </w:hyperlink>
            <w:r w:rsidRPr="00392980">
              <w:rPr>
                <w:rFonts w:ascii="Times New Roman" w:eastAsia="Times New Roman" w:hAnsi="Times New Roman" w:cs="Times New Roman"/>
                <w:sz w:val="20"/>
                <w:szCs w:val="20"/>
                <w:lang w:val="en-GB" w:eastAsia="it-IT"/>
              </w:rPr>
              <w:t xml:space="preserve"> &gt;&gt; </w:t>
            </w:r>
            <w:hyperlink r:id="rId13" w:history="1">
              <w:r w:rsidRPr="00392980">
                <w:rPr>
                  <w:rFonts w:ascii="Times New Roman" w:eastAsia="Times New Roman" w:hAnsi="Times New Roman" w:cs="Times New Roman"/>
                  <w:color w:val="0000FF"/>
                  <w:sz w:val="20"/>
                  <w:szCs w:val="20"/>
                  <w:u w:val="single"/>
                  <w:lang w:val="en-GB" w:eastAsia="it-IT"/>
                </w:rPr>
                <w:t>Databases</w:t>
              </w:r>
            </w:hyperlink>
            <w:r w:rsidRPr="00392980">
              <w:rPr>
                <w:rFonts w:ascii="Times New Roman" w:eastAsia="Times New Roman" w:hAnsi="Times New Roman" w:cs="Times New Roman"/>
                <w:sz w:val="20"/>
                <w:szCs w:val="20"/>
                <w:lang w:val="en-GB" w:eastAsia="it-IT"/>
              </w:rPr>
              <w:t xml:space="preserve"> &gt;&gt; </w:t>
            </w:r>
            <w:hyperlink r:id="rId14" w:history="1">
              <w:r w:rsidRPr="00392980">
                <w:rPr>
                  <w:rFonts w:ascii="Times New Roman" w:eastAsia="Times New Roman" w:hAnsi="Times New Roman" w:cs="Times New Roman"/>
                  <w:color w:val="0000FF"/>
                  <w:sz w:val="20"/>
                  <w:szCs w:val="20"/>
                  <w:u w:val="single"/>
                  <w:lang w:val="en-GB" w:eastAsia="it-IT"/>
                </w:rPr>
                <w:t>Irish Court of Appeal</w:t>
              </w:r>
            </w:hyperlink>
            <w:r w:rsidRPr="00392980">
              <w:rPr>
                <w:rFonts w:ascii="Times New Roman" w:eastAsia="Times New Roman" w:hAnsi="Times New Roman" w:cs="Times New Roman"/>
                <w:sz w:val="20"/>
                <w:szCs w:val="20"/>
                <w:lang w:val="en-GB" w:eastAsia="it-IT"/>
              </w:rPr>
              <w:t xml:space="preserve"> &gt;&gt; Minister for Justice and Equality -v- O'Connor [2015] IECA 227 (23 October 2015) </w:t>
            </w:r>
            <w:r w:rsidRPr="00392980">
              <w:rPr>
                <w:rFonts w:ascii="Times New Roman" w:eastAsia="Times New Roman" w:hAnsi="Times New Roman" w:cs="Times New Roman"/>
                <w:sz w:val="20"/>
                <w:szCs w:val="20"/>
                <w:lang w:val="en-GB" w:eastAsia="it-IT"/>
              </w:rPr>
              <w:br/>
              <w:t xml:space="preserve">URL: </w:t>
            </w:r>
            <w:r w:rsidRPr="00392980">
              <w:rPr>
                <w:rFonts w:ascii="Times New Roman" w:eastAsia="Times New Roman" w:hAnsi="Times New Roman" w:cs="Times New Roman"/>
                <w:i/>
                <w:iCs/>
                <w:sz w:val="20"/>
                <w:szCs w:val="20"/>
                <w:lang w:val="en-GB" w:eastAsia="it-IT"/>
              </w:rPr>
              <w:t>http://www.bailii.org/ie/cases/IECA/2015/CA227.html</w:t>
            </w:r>
            <w:r w:rsidRPr="00392980">
              <w:rPr>
                <w:rFonts w:ascii="Times New Roman" w:eastAsia="Times New Roman" w:hAnsi="Times New Roman" w:cs="Times New Roman"/>
                <w:sz w:val="20"/>
                <w:szCs w:val="20"/>
                <w:lang w:val="en-GB" w:eastAsia="it-IT"/>
              </w:rPr>
              <w:t xml:space="preserve"> </w:t>
            </w:r>
            <w:r w:rsidRPr="00392980">
              <w:rPr>
                <w:rFonts w:ascii="Times New Roman" w:eastAsia="Times New Roman" w:hAnsi="Times New Roman" w:cs="Times New Roman"/>
                <w:sz w:val="20"/>
                <w:szCs w:val="20"/>
                <w:lang w:val="en-GB" w:eastAsia="it-IT"/>
              </w:rPr>
              <w:br/>
              <w:t xml:space="preserve">Cite as: [2015] IECA 227 </w:t>
            </w:r>
          </w:p>
          <w:p w:rsidR="00392980" w:rsidRPr="00392980" w:rsidRDefault="00392980" w:rsidP="00392980">
            <w:pPr>
              <w:spacing w:after="0" w:line="240" w:lineRule="auto"/>
              <w:rPr>
                <w:rFonts w:ascii="Times New Roman" w:eastAsia="Times New Roman" w:hAnsi="Times New Roman" w:cs="Times New Roman"/>
                <w:sz w:val="24"/>
                <w:szCs w:val="24"/>
                <w:lang w:eastAsia="it-IT"/>
              </w:rPr>
            </w:pPr>
            <w:r w:rsidRPr="00392980">
              <w:rPr>
                <w:rFonts w:ascii="Times New Roman" w:eastAsia="Times New Roman" w:hAnsi="Times New Roman" w:cs="Times New Roman"/>
                <w:sz w:val="24"/>
                <w:szCs w:val="24"/>
                <w:lang w:eastAsia="it-IT"/>
              </w:rPr>
              <w:pict>
                <v:rect id="_x0000_i1026" style="width:0;height:1.5pt" o:hralign="center" o:hrstd="t" o:hr="t" fillcolor="#a0a0a0" stroked="f"/>
              </w:pict>
            </w:r>
          </w:p>
        </w:tc>
      </w:tr>
    </w:tbl>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eastAsia="it-IT"/>
        </w:rPr>
      </w:pPr>
      <w:r w:rsidRPr="00392980">
        <w:rPr>
          <w:rFonts w:ascii="Times New Roman" w:eastAsia="Times New Roman" w:hAnsi="Times New Roman" w:cs="Times New Roman"/>
          <w:sz w:val="24"/>
          <w:szCs w:val="24"/>
          <w:lang w:eastAsia="it-IT"/>
        </w:rPr>
        <w:t>[</w:t>
      </w:r>
      <w:hyperlink r:id="rId15" w:history="1">
        <w:r w:rsidRPr="00392980">
          <w:rPr>
            <w:rFonts w:ascii="Times New Roman" w:eastAsia="Times New Roman" w:hAnsi="Times New Roman" w:cs="Times New Roman"/>
            <w:color w:val="0000FF"/>
            <w:sz w:val="24"/>
            <w:szCs w:val="24"/>
            <w:u w:val="single"/>
            <w:lang w:eastAsia="it-IT"/>
          </w:rPr>
          <w:t>New search</w:t>
        </w:r>
      </w:hyperlink>
      <w:r w:rsidRPr="00392980">
        <w:rPr>
          <w:rFonts w:ascii="Times New Roman" w:eastAsia="Times New Roman" w:hAnsi="Times New Roman" w:cs="Times New Roman"/>
          <w:sz w:val="24"/>
          <w:szCs w:val="24"/>
          <w:lang w:eastAsia="it-IT"/>
        </w:rPr>
        <w:t>] [</w:t>
      </w:r>
      <w:hyperlink r:id="rId16" w:history="1">
        <w:r w:rsidRPr="00392980">
          <w:rPr>
            <w:rFonts w:ascii="Times New Roman" w:eastAsia="Times New Roman" w:hAnsi="Times New Roman" w:cs="Times New Roman"/>
            <w:color w:val="0000FF"/>
            <w:sz w:val="24"/>
            <w:szCs w:val="24"/>
            <w:u w:val="single"/>
            <w:lang w:eastAsia="it-IT"/>
          </w:rPr>
          <w:t>Help</w:t>
        </w:r>
      </w:hyperlink>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after="0" w:line="240" w:lineRule="auto"/>
        <w:rPr>
          <w:rFonts w:ascii="Times New Roman" w:eastAsia="Times New Roman" w:hAnsi="Times New Roman" w:cs="Times New Roman"/>
          <w:sz w:val="24"/>
          <w:szCs w:val="24"/>
          <w:lang w:eastAsia="it-IT"/>
        </w:rPr>
      </w:pPr>
      <w:r w:rsidRPr="00392980">
        <w:rPr>
          <w:rFonts w:ascii="Times New Roman" w:eastAsia="Times New Roman" w:hAnsi="Times New Roman" w:cs="Times New Roman"/>
          <w:sz w:val="24"/>
          <w:szCs w:val="24"/>
          <w:lang w:eastAsia="it-IT"/>
        </w:rPr>
        <w:pict>
          <v:rect id="_x0000_i1027" style="width:0;height:1.5pt" o:hralign="center" o:hrstd="t" o:hr="t" fillcolor="#a0a0a0" stroked="f"/>
        </w:pic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9156"/>
      </w:tblGrid>
      <w:tr w:rsidR="00392980" w:rsidRPr="00392980" w:rsidTr="00392980">
        <w:trPr>
          <w:tblCellSpacing w:w="15" w:type="dxa"/>
        </w:trPr>
        <w:tc>
          <w:tcPr>
            <w:tcW w:w="0" w:type="auto"/>
            <w:tcBorders>
              <w:top w:val="nil"/>
              <w:left w:val="nil"/>
              <w:bottom w:val="nil"/>
              <w:right w:val="nil"/>
            </w:tcBorders>
            <w:hideMark/>
          </w:tcPr>
          <w:p w:rsidR="00392980" w:rsidRPr="00392980" w:rsidRDefault="00392980" w:rsidP="00392980">
            <w:pPr>
              <w:spacing w:after="0" w:line="240" w:lineRule="auto"/>
              <w:rPr>
                <w:rFonts w:ascii="Times New Roman" w:eastAsia="Times New Roman" w:hAnsi="Times New Roman" w:cs="Times New Roman"/>
                <w:sz w:val="24"/>
                <w:szCs w:val="24"/>
                <w:lang w:eastAsia="it-IT"/>
              </w:rPr>
            </w:pPr>
          </w:p>
        </w:tc>
      </w:tr>
      <w:tr w:rsidR="00392980" w:rsidRPr="00392980" w:rsidTr="00392980">
        <w:trPr>
          <w:tblCellSpacing w:w="15" w:type="dxa"/>
        </w:trPr>
        <w:tc>
          <w:tcPr>
            <w:tcW w:w="0" w:type="auto"/>
            <w:tcBorders>
              <w:top w:val="nil"/>
              <w:left w:val="nil"/>
              <w:bottom w:val="nil"/>
              <w:right w:val="nil"/>
            </w:tcBorders>
            <w:shd w:val="clear" w:color="auto" w:fill="FFFFFF"/>
            <w:vAlign w:val="center"/>
            <w:hideMark/>
          </w:tcPr>
          <w:p w:rsidR="00392980" w:rsidRPr="00392980" w:rsidRDefault="00392980" w:rsidP="00392980">
            <w:pPr>
              <w:spacing w:after="0" w:line="240" w:lineRule="auto"/>
              <w:jc w:val="center"/>
              <w:rPr>
                <w:rFonts w:ascii="Times New Roman" w:eastAsia="Times New Roman" w:hAnsi="Times New Roman" w:cs="Times New Roman"/>
                <w:sz w:val="24"/>
                <w:szCs w:val="24"/>
                <w:lang w:eastAsia="it-IT"/>
              </w:rPr>
            </w:pPr>
            <w:r w:rsidRPr="00392980">
              <w:rPr>
                <w:rFonts w:ascii="Times New Roman" w:eastAsia="Times New Roman" w:hAnsi="Times New Roman" w:cs="Times New Roman"/>
                <w:sz w:val="24"/>
                <w:szCs w:val="24"/>
                <w:lang w:eastAsia="it-IT"/>
              </w:rPr>
              <w:br/>
            </w:r>
            <w:r w:rsidRPr="00392980">
              <w:rPr>
                <w:rFonts w:ascii="Arial" w:eastAsia="Times New Roman" w:hAnsi="Arial" w:cs="Arial"/>
                <w:b/>
                <w:bCs/>
                <w:color w:val="4181C0"/>
                <w:sz w:val="20"/>
                <w:szCs w:val="20"/>
                <w:lang w:eastAsia="it-IT"/>
              </w:rPr>
              <w:t>Judgment</w:t>
            </w:r>
          </w:p>
          <w:tbl>
            <w:tblPr>
              <w:tblW w:w="5000" w:type="pct"/>
              <w:tblCellSpacing w:w="0" w:type="dxa"/>
              <w:tblCellMar>
                <w:left w:w="0" w:type="dxa"/>
                <w:right w:w="0" w:type="dxa"/>
              </w:tblCellMar>
              <w:tblLook w:val="04A0" w:firstRow="1" w:lastRow="0" w:firstColumn="1" w:lastColumn="0" w:noHBand="0" w:noVBand="1"/>
            </w:tblPr>
            <w:tblGrid>
              <w:gridCol w:w="4533"/>
              <w:gridCol w:w="4533"/>
            </w:tblGrid>
            <w:tr w:rsidR="00392980" w:rsidRPr="00392980">
              <w:trPr>
                <w:tblCellSpacing w:w="0" w:type="dxa"/>
              </w:trPr>
              <w:tc>
                <w:tcPr>
                  <w:tcW w:w="2500" w:type="pct"/>
                  <w:tcMar>
                    <w:top w:w="75" w:type="dxa"/>
                    <w:left w:w="75" w:type="dxa"/>
                    <w:bottom w:w="75" w:type="dxa"/>
                    <w:right w:w="75" w:type="dxa"/>
                  </w:tcMar>
                  <w:hideMark/>
                </w:tcPr>
                <w:p w:rsidR="00392980" w:rsidRPr="00392980" w:rsidRDefault="00392980" w:rsidP="00392980">
                  <w:pPr>
                    <w:spacing w:after="0" w:line="240" w:lineRule="auto"/>
                    <w:jc w:val="right"/>
                    <w:rPr>
                      <w:rFonts w:ascii="Times New Roman" w:eastAsia="Times New Roman" w:hAnsi="Times New Roman" w:cs="Times New Roman"/>
                      <w:sz w:val="24"/>
                      <w:szCs w:val="24"/>
                      <w:lang w:eastAsia="it-IT"/>
                    </w:rPr>
                  </w:pPr>
                  <w:r w:rsidRPr="00392980">
                    <w:rPr>
                      <w:rFonts w:ascii="Arial" w:eastAsia="Times New Roman" w:hAnsi="Arial" w:cs="Arial"/>
                      <w:b/>
                      <w:bCs/>
                      <w:color w:val="4181C0"/>
                      <w:sz w:val="20"/>
                      <w:szCs w:val="20"/>
                      <w:lang w:eastAsia="it-IT"/>
                    </w:rPr>
                    <w:t>Title:</w:t>
                  </w:r>
                </w:p>
              </w:tc>
              <w:tc>
                <w:tcPr>
                  <w:tcW w:w="2500" w:type="pct"/>
                  <w:tcMar>
                    <w:top w:w="75" w:type="dxa"/>
                    <w:left w:w="75" w:type="dxa"/>
                    <w:bottom w:w="75" w:type="dxa"/>
                    <w:right w:w="75" w:type="dxa"/>
                  </w:tcMar>
                  <w:hideMark/>
                </w:tcPr>
                <w:p w:rsidR="00392980" w:rsidRPr="00392980" w:rsidRDefault="00392980" w:rsidP="00392980">
                  <w:pPr>
                    <w:spacing w:after="0" w:line="240" w:lineRule="auto"/>
                    <w:rPr>
                      <w:rFonts w:ascii="Times New Roman" w:eastAsia="Times New Roman" w:hAnsi="Times New Roman" w:cs="Times New Roman"/>
                      <w:sz w:val="24"/>
                      <w:szCs w:val="24"/>
                      <w:lang w:val="en-GB" w:eastAsia="it-IT"/>
                    </w:rPr>
                  </w:pPr>
                  <w:r w:rsidRPr="00392980">
                    <w:rPr>
                      <w:rFonts w:ascii="Arial" w:eastAsia="Times New Roman" w:hAnsi="Arial" w:cs="Arial"/>
                      <w:sz w:val="20"/>
                      <w:szCs w:val="20"/>
                      <w:lang w:val="en-GB" w:eastAsia="it-IT"/>
                    </w:rPr>
                    <w:t>Minister for Justice and Equality -v- O'Connor</w:t>
                  </w:r>
                </w:p>
              </w:tc>
            </w:tr>
            <w:tr w:rsidR="00392980" w:rsidRPr="00392980">
              <w:trPr>
                <w:tblCellSpacing w:w="0" w:type="dxa"/>
              </w:trPr>
              <w:tc>
                <w:tcPr>
                  <w:tcW w:w="2500" w:type="pct"/>
                  <w:tcMar>
                    <w:top w:w="75" w:type="dxa"/>
                    <w:left w:w="75" w:type="dxa"/>
                    <w:bottom w:w="75" w:type="dxa"/>
                    <w:right w:w="75" w:type="dxa"/>
                  </w:tcMar>
                  <w:hideMark/>
                </w:tcPr>
                <w:p w:rsidR="00392980" w:rsidRPr="00392980" w:rsidRDefault="00392980" w:rsidP="00392980">
                  <w:pPr>
                    <w:spacing w:after="0" w:line="240" w:lineRule="auto"/>
                    <w:jc w:val="right"/>
                    <w:rPr>
                      <w:rFonts w:ascii="Times New Roman" w:eastAsia="Times New Roman" w:hAnsi="Times New Roman" w:cs="Times New Roman"/>
                      <w:sz w:val="24"/>
                      <w:szCs w:val="24"/>
                      <w:lang w:eastAsia="it-IT"/>
                    </w:rPr>
                  </w:pPr>
                  <w:r w:rsidRPr="00392980">
                    <w:rPr>
                      <w:rFonts w:ascii="Arial" w:eastAsia="Times New Roman" w:hAnsi="Arial" w:cs="Arial"/>
                      <w:b/>
                      <w:bCs/>
                      <w:color w:val="4181C0"/>
                      <w:sz w:val="20"/>
                      <w:szCs w:val="20"/>
                      <w:lang w:eastAsia="it-IT"/>
                    </w:rPr>
                    <w:t>Neutral Citation:</w:t>
                  </w:r>
                </w:p>
              </w:tc>
              <w:tc>
                <w:tcPr>
                  <w:tcW w:w="2500" w:type="pct"/>
                  <w:tcMar>
                    <w:top w:w="75" w:type="dxa"/>
                    <w:left w:w="75" w:type="dxa"/>
                    <w:bottom w:w="75" w:type="dxa"/>
                    <w:right w:w="75" w:type="dxa"/>
                  </w:tcMar>
                  <w:hideMark/>
                </w:tcPr>
                <w:p w:rsidR="00392980" w:rsidRPr="00392980" w:rsidRDefault="00392980" w:rsidP="00392980">
                  <w:pPr>
                    <w:spacing w:after="0" w:line="240" w:lineRule="auto"/>
                    <w:rPr>
                      <w:rFonts w:ascii="Times New Roman" w:eastAsia="Times New Roman" w:hAnsi="Times New Roman" w:cs="Times New Roman"/>
                      <w:sz w:val="24"/>
                      <w:szCs w:val="24"/>
                      <w:lang w:eastAsia="it-IT"/>
                    </w:rPr>
                  </w:pPr>
                  <w:r w:rsidRPr="00392980">
                    <w:rPr>
                      <w:rFonts w:ascii="Arial" w:eastAsia="Times New Roman" w:hAnsi="Arial" w:cs="Arial"/>
                      <w:sz w:val="20"/>
                      <w:szCs w:val="20"/>
                      <w:lang w:eastAsia="it-IT"/>
                    </w:rPr>
                    <w:t>[2015] IECA 227</w:t>
                  </w:r>
                </w:p>
              </w:tc>
            </w:tr>
            <w:tr w:rsidR="00392980" w:rsidRPr="00392980">
              <w:trPr>
                <w:tblCellSpacing w:w="0" w:type="dxa"/>
              </w:trPr>
              <w:tc>
                <w:tcPr>
                  <w:tcW w:w="2500" w:type="pct"/>
                  <w:tcMar>
                    <w:top w:w="75" w:type="dxa"/>
                    <w:left w:w="75" w:type="dxa"/>
                    <w:bottom w:w="75" w:type="dxa"/>
                    <w:right w:w="75" w:type="dxa"/>
                  </w:tcMar>
                  <w:hideMark/>
                </w:tcPr>
                <w:p w:rsidR="00392980" w:rsidRPr="00392980" w:rsidRDefault="00392980" w:rsidP="00392980">
                  <w:pPr>
                    <w:spacing w:after="0" w:line="240" w:lineRule="auto"/>
                    <w:jc w:val="right"/>
                    <w:rPr>
                      <w:rFonts w:ascii="Times New Roman" w:eastAsia="Times New Roman" w:hAnsi="Times New Roman" w:cs="Times New Roman"/>
                      <w:sz w:val="24"/>
                      <w:szCs w:val="24"/>
                      <w:lang w:val="en-GB" w:eastAsia="it-IT"/>
                    </w:rPr>
                  </w:pPr>
                  <w:r w:rsidRPr="00392980">
                    <w:rPr>
                      <w:rFonts w:ascii="Arial" w:eastAsia="Times New Roman" w:hAnsi="Arial" w:cs="Arial"/>
                      <w:b/>
                      <w:bCs/>
                      <w:color w:val="4181C0"/>
                      <w:sz w:val="20"/>
                      <w:szCs w:val="20"/>
                      <w:lang w:val="en-GB" w:eastAsia="it-IT"/>
                    </w:rPr>
                    <w:t>Court of Appeal Record Number:</w:t>
                  </w:r>
                </w:p>
              </w:tc>
              <w:tc>
                <w:tcPr>
                  <w:tcW w:w="2500" w:type="pct"/>
                  <w:tcMar>
                    <w:top w:w="75" w:type="dxa"/>
                    <w:left w:w="75" w:type="dxa"/>
                    <w:bottom w:w="75" w:type="dxa"/>
                    <w:right w:w="75" w:type="dxa"/>
                  </w:tcMar>
                  <w:hideMark/>
                </w:tcPr>
                <w:p w:rsidR="00392980" w:rsidRPr="00392980" w:rsidRDefault="00392980" w:rsidP="00392980">
                  <w:pPr>
                    <w:spacing w:after="0" w:line="240" w:lineRule="auto"/>
                    <w:rPr>
                      <w:rFonts w:ascii="Times New Roman" w:eastAsia="Times New Roman" w:hAnsi="Times New Roman" w:cs="Times New Roman"/>
                      <w:sz w:val="24"/>
                      <w:szCs w:val="24"/>
                      <w:lang w:eastAsia="it-IT"/>
                    </w:rPr>
                  </w:pPr>
                  <w:r w:rsidRPr="00392980">
                    <w:rPr>
                      <w:rFonts w:ascii="Arial" w:eastAsia="Times New Roman" w:hAnsi="Arial" w:cs="Arial"/>
                      <w:sz w:val="20"/>
                      <w:szCs w:val="20"/>
                      <w:lang w:eastAsia="it-IT"/>
                    </w:rPr>
                    <w:t>2015 48</w:t>
                  </w:r>
                </w:p>
              </w:tc>
            </w:tr>
            <w:tr w:rsidR="00392980" w:rsidRPr="00392980">
              <w:trPr>
                <w:tblCellSpacing w:w="0" w:type="dxa"/>
              </w:trPr>
              <w:tc>
                <w:tcPr>
                  <w:tcW w:w="2500" w:type="pct"/>
                  <w:tcMar>
                    <w:top w:w="75" w:type="dxa"/>
                    <w:left w:w="75" w:type="dxa"/>
                    <w:bottom w:w="75" w:type="dxa"/>
                    <w:right w:w="75" w:type="dxa"/>
                  </w:tcMar>
                  <w:hideMark/>
                </w:tcPr>
                <w:p w:rsidR="00392980" w:rsidRPr="00392980" w:rsidRDefault="00392980" w:rsidP="00392980">
                  <w:pPr>
                    <w:spacing w:after="0" w:line="240" w:lineRule="auto"/>
                    <w:jc w:val="right"/>
                    <w:rPr>
                      <w:rFonts w:ascii="Times New Roman" w:eastAsia="Times New Roman" w:hAnsi="Times New Roman" w:cs="Times New Roman"/>
                      <w:sz w:val="24"/>
                      <w:szCs w:val="24"/>
                      <w:lang w:eastAsia="it-IT"/>
                    </w:rPr>
                  </w:pPr>
                  <w:r w:rsidRPr="00392980">
                    <w:rPr>
                      <w:rFonts w:ascii="Arial" w:eastAsia="Times New Roman" w:hAnsi="Arial" w:cs="Arial"/>
                      <w:b/>
                      <w:bCs/>
                      <w:color w:val="4181C0"/>
                      <w:sz w:val="20"/>
                      <w:szCs w:val="20"/>
                      <w:lang w:eastAsia="it-IT"/>
                    </w:rPr>
                    <w:t>Date of Delivery:</w:t>
                  </w:r>
                </w:p>
              </w:tc>
              <w:tc>
                <w:tcPr>
                  <w:tcW w:w="2500" w:type="pct"/>
                  <w:tcMar>
                    <w:top w:w="75" w:type="dxa"/>
                    <w:left w:w="75" w:type="dxa"/>
                    <w:bottom w:w="75" w:type="dxa"/>
                    <w:right w:w="75" w:type="dxa"/>
                  </w:tcMar>
                  <w:hideMark/>
                </w:tcPr>
                <w:p w:rsidR="00392980" w:rsidRPr="00392980" w:rsidRDefault="00392980" w:rsidP="00392980">
                  <w:pPr>
                    <w:spacing w:after="0" w:line="240" w:lineRule="auto"/>
                    <w:rPr>
                      <w:rFonts w:ascii="Times New Roman" w:eastAsia="Times New Roman" w:hAnsi="Times New Roman" w:cs="Times New Roman"/>
                      <w:sz w:val="24"/>
                      <w:szCs w:val="24"/>
                      <w:lang w:eastAsia="it-IT"/>
                    </w:rPr>
                  </w:pPr>
                  <w:r w:rsidRPr="00392980">
                    <w:rPr>
                      <w:rFonts w:ascii="Arial" w:eastAsia="Times New Roman" w:hAnsi="Arial" w:cs="Arial"/>
                      <w:sz w:val="20"/>
                      <w:szCs w:val="20"/>
                      <w:lang w:eastAsia="it-IT"/>
                    </w:rPr>
                    <w:t>23/10/2015</w:t>
                  </w:r>
                </w:p>
              </w:tc>
            </w:tr>
            <w:tr w:rsidR="00392980" w:rsidRPr="00392980">
              <w:trPr>
                <w:tblCellSpacing w:w="0" w:type="dxa"/>
              </w:trPr>
              <w:tc>
                <w:tcPr>
                  <w:tcW w:w="2500" w:type="pct"/>
                  <w:tcMar>
                    <w:top w:w="75" w:type="dxa"/>
                    <w:left w:w="75" w:type="dxa"/>
                    <w:bottom w:w="75" w:type="dxa"/>
                    <w:right w:w="75" w:type="dxa"/>
                  </w:tcMar>
                  <w:hideMark/>
                </w:tcPr>
                <w:p w:rsidR="00392980" w:rsidRPr="00392980" w:rsidRDefault="00392980" w:rsidP="00392980">
                  <w:pPr>
                    <w:spacing w:after="0" w:line="240" w:lineRule="auto"/>
                    <w:jc w:val="right"/>
                    <w:rPr>
                      <w:rFonts w:ascii="Times New Roman" w:eastAsia="Times New Roman" w:hAnsi="Times New Roman" w:cs="Times New Roman"/>
                      <w:sz w:val="24"/>
                      <w:szCs w:val="24"/>
                      <w:lang w:eastAsia="it-IT"/>
                    </w:rPr>
                  </w:pPr>
                  <w:r w:rsidRPr="00392980">
                    <w:rPr>
                      <w:rFonts w:ascii="Arial" w:eastAsia="Times New Roman" w:hAnsi="Arial" w:cs="Arial"/>
                      <w:b/>
                      <w:bCs/>
                      <w:color w:val="4181C0"/>
                      <w:sz w:val="20"/>
                      <w:szCs w:val="20"/>
                      <w:lang w:eastAsia="it-IT"/>
                    </w:rPr>
                    <w:t>Court:</w:t>
                  </w:r>
                </w:p>
              </w:tc>
              <w:tc>
                <w:tcPr>
                  <w:tcW w:w="2500" w:type="pct"/>
                  <w:tcMar>
                    <w:top w:w="75" w:type="dxa"/>
                    <w:left w:w="75" w:type="dxa"/>
                    <w:bottom w:w="75" w:type="dxa"/>
                    <w:right w:w="75" w:type="dxa"/>
                  </w:tcMar>
                  <w:hideMark/>
                </w:tcPr>
                <w:p w:rsidR="00392980" w:rsidRPr="00392980" w:rsidRDefault="00392980" w:rsidP="00392980">
                  <w:pPr>
                    <w:spacing w:after="0" w:line="240" w:lineRule="auto"/>
                    <w:rPr>
                      <w:rFonts w:ascii="Times New Roman" w:eastAsia="Times New Roman" w:hAnsi="Times New Roman" w:cs="Times New Roman"/>
                      <w:sz w:val="24"/>
                      <w:szCs w:val="24"/>
                      <w:lang w:eastAsia="it-IT"/>
                    </w:rPr>
                  </w:pPr>
                  <w:r w:rsidRPr="00392980">
                    <w:rPr>
                      <w:rFonts w:ascii="Arial" w:eastAsia="Times New Roman" w:hAnsi="Arial" w:cs="Arial"/>
                      <w:sz w:val="20"/>
                      <w:szCs w:val="20"/>
                      <w:lang w:eastAsia="it-IT"/>
                    </w:rPr>
                    <w:t>Court of Appeal</w:t>
                  </w:r>
                </w:p>
              </w:tc>
            </w:tr>
            <w:tr w:rsidR="00392980" w:rsidRPr="00392980">
              <w:trPr>
                <w:tblCellSpacing w:w="0" w:type="dxa"/>
              </w:trPr>
              <w:tc>
                <w:tcPr>
                  <w:tcW w:w="2500" w:type="pct"/>
                  <w:tcMar>
                    <w:top w:w="75" w:type="dxa"/>
                    <w:left w:w="75" w:type="dxa"/>
                    <w:bottom w:w="75" w:type="dxa"/>
                    <w:right w:w="75" w:type="dxa"/>
                  </w:tcMar>
                  <w:hideMark/>
                </w:tcPr>
                <w:p w:rsidR="00392980" w:rsidRPr="00392980" w:rsidRDefault="00392980" w:rsidP="00392980">
                  <w:pPr>
                    <w:spacing w:after="0" w:line="240" w:lineRule="auto"/>
                    <w:jc w:val="right"/>
                    <w:rPr>
                      <w:rFonts w:ascii="Times New Roman" w:eastAsia="Times New Roman" w:hAnsi="Times New Roman" w:cs="Times New Roman"/>
                      <w:sz w:val="24"/>
                      <w:szCs w:val="24"/>
                      <w:lang w:eastAsia="it-IT"/>
                    </w:rPr>
                  </w:pPr>
                  <w:r w:rsidRPr="00392980">
                    <w:rPr>
                      <w:rFonts w:ascii="Arial" w:eastAsia="Times New Roman" w:hAnsi="Arial" w:cs="Arial"/>
                      <w:b/>
                      <w:bCs/>
                      <w:color w:val="4181C0"/>
                      <w:sz w:val="20"/>
                      <w:szCs w:val="20"/>
                      <w:lang w:eastAsia="it-IT"/>
                    </w:rPr>
                    <w:t>Composition of Court:</w:t>
                  </w:r>
                </w:p>
              </w:tc>
              <w:tc>
                <w:tcPr>
                  <w:tcW w:w="2500" w:type="pct"/>
                  <w:tcMar>
                    <w:top w:w="75" w:type="dxa"/>
                    <w:left w:w="75" w:type="dxa"/>
                    <w:bottom w:w="75" w:type="dxa"/>
                    <w:right w:w="75" w:type="dxa"/>
                  </w:tcMar>
                  <w:hideMark/>
                </w:tcPr>
                <w:p w:rsidR="00392980" w:rsidRPr="00392980" w:rsidRDefault="00392980" w:rsidP="00392980">
                  <w:pPr>
                    <w:spacing w:after="0" w:line="240" w:lineRule="auto"/>
                    <w:rPr>
                      <w:rFonts w:ascii="Times New Roman" w:eastAsia="Times New Roman" w:hAnsi="Times New Roman" w:cs="Times New Roman"/>
                      <w:sz w:val="24"/>
                      <w:szCs w:val="24"/>
                      <w:lang w:val="en-GB" w:eastAsia="it-IT"/>
                    </w:rPr>
                  </w:pPr>
                  <w:r w:rsidRPr="00392980">
                    <w:rPr>
                      <w:rFonts w:ascii="Arial" w:eastAsia="Times New Roman" w:hAnsi="Arial" w:cs="Arial"/>
                      <w:sz w:val="20"/>
                      <w:szCs w:val="20"/>
                      <w:lang w:val="en-GB" w:eastAsia="it-IT"/>
                    </w:rPr>
                    <w:t>Ryan P., Irvine J., Hogan J.</w:t>
                  </w:r>
                </w:p>
              </w:tc>
            </w:tr>
            <w:tr w:rsidR="00392980" w:rsidRPr="00392980">
              <w:trPr>
                <w:tblCellSpacing w:w="0" w:type="dxa"/>
              </w:trPr>
              <w:tc>
                <w:tcPr>
                  <w:tcW w:w="2500" w:type="pct"/>
                  <w:tcMar>
                    <w:top w:w="75" w:type="dxa"/>
                    <w:left w:w="75" w:type="dxa"/>
                    <w:bottom w:w="75" w:type="dxa"/>
                    <w:right w:w="75" w:type="dxa"/>
                  </w:tcMar>
                  <w:hideMark/>
                </w:tcPr>
                <w:p w:rsidR="00392980" w:rsidRPr="00392980" w:rsidRDefault="00392980" w:rsidP="00392980">
                  <w:pPr>
                    <w:spacing w:after="0" w:line="240" w:lineRule="auto"/>
                    <w:jc w:val="right"/>
                    <w:rPr>
                      <w:rFonts w:ascii="Times New Roman" w:eastAsia="Times New Roman" w:hAnsi="Times New Roman" w:cs="Times New Roman"/>
                      <w:sz w:val="24"/>
                      <w:szCs w:val="24"/>
                      <w:lang w:eastAsia="it-IT"/>
                    </w:rPr>
                  </w:pPr>
                  <w:r w:rsidRPr="00392980">
                    <w:rPr>
                      <w:rFonts w:ascii="Arial" w:eastAsia="Times New Roman" w:hAnsi="Arial" w:cs="Arial"/>
                      <w:b/>
                      <w:bCs/>
                      <w:color w:val="4181C0"/>
                      <w:sz w:val="20"/>
                      <w:szCs w:val="20"/>
                      <w:lang w:eastAsia="it-IT"/>
                    </w:rPr>
                    <w:t>Judgment by:</w:t>
                  </w:r>
                </w:p>
              </w:tc>
              <w:tc>
                <w:tcPr>
                  <w:tcW w:w="2500" w:type="pct"/>
                  <w:tcMar>
                    <w:top w:w="75" w:type="dxa"/>
                    <w:left w:w="75" w:type="dxa"/>
                    <w:bottom w:w="75" w:type="dxa"/>
                    <w:right w:w="75" w:type="dxa"/>
                  </w:tcMar>
                  <w:hideMark/>
                </w:tcPr>
                <w:p w:rsidR="00392980" w:rsidRPr="00392980" w:rsidRDefault="00392980" w:rsidP="00392980">
                  <w:pPr>
                    <w:spacing w:after="0" w:line="240" w:lineRule="auto"/>
                    <w:rPr>
                      <w:rFonts w:ascii="Times New Roman" w:eastAsia="Times New Roman" w:hAnsi="Times New Roman" w:cs="Times New Roman"/>
                      <w:sz w:val="24"/>
                      <w:szCs w:val="24"/>
                      <w:lang w:val="en-GB" w:eastAsia="it-IT"/>
                    </w:rPr>
                  </w:pPr>
                  <w:r w:rsidRPr="00392980">
                    <w:rPr>
                      <w:rFonts w:ascii="Arial" w:eastAsia="Times New Roman" w:hAnsi="Arial" w:cs="Arial"/>
                      <w:sz w:val="20"/>
                      <w:szCs w:val="20"/>
                      <w:lang w:val="en-GB" w:eastAsia="it-IT"/>
                    </w:rPr>
                    <w:t xml:space="preserve">Ryan P. </w:t>
                  </w:r>
                  <w:hyperlink r:id="rId17" w:anchor="judge1" w:history="1">
                    <w:r w:rsidRPr="00392980">
                      <w:rPr>
                        <w:rFonts w:ascii="Arial" w:eastAsia="Times New Roman" w:hAnsi="Arial" w:cs="Arial"/>
                        <w:color w:val="0000FF"/>
                        <w:sz w:val="20"/>
                        <w:szCs w:val="20"/>
                        <w:u w:val="single"/>
                        <w:lang w:val="en-GB" w:eastAsia="it-IT"/>
                      </w:rPr>
                      <w:t>Link to judgment</w:t>
                    </w:r>
                  </w:hyperlink>
                </w:p>
              </w:tc>
            </w:tr>
            <w:tr w:rsidR="00392980" w:rsidRPr="00392980">
              <w:trPr>
                <w:tblCellSpacing w:w="0" w:type="dxa"/>
              </w:trPr>
              <w:tc>
                <w:tcPr>
                  <w:tcW w:w="2500" w:type="pct"/>
                  <w:tcMar>
                    <w:top w:w="75" w:type="dxa"/>
                    <w:left w:w="75" w:type="dxa"/>
                    <w:bottom w:w="75" w:type="dxa"/>
                    <w:right w:w="75" w:type="dxa"/>
                  </w:tcMar>
                  <w:hideMark/>
                </w:tcPr>
                <w:p w:rsidR="00392980" w:rsidRPr="00392980" w:rsidRDefault="00392980" w:rsidP="00392980">
                  <w:pPr>
                    <w:spacing w:after="0" w:line="240" w:lineRule="auto"/>
                    <w:jc w:val="right"/>
                    <w:rPr>
                      <w:rFonts w:ascii="Times New Roman" w:eastAsia="Times New Roman" w:hAnsi="Times New Roman" w:cs="Times New Roman"/>
                      <w:sz w:val="24"/>
                      <w:szCs w:val="24"/>
                      <w:lang w:eastAsia="it-IT"/>
                    </w:rPr>
                  </w:pPr>
                  <w:r w:rsidRPr="00392980">
                    <w:rPr>
                      <w:rFonts w:ascii="Arial" w:eastAsia="Times New Roman" w:hAnsi="Arial" w:cs="Arial"/>
                      <w:b/>
                      <w:bCs/>
                      <w:color w:val="4181C0"/>
                      <w:sz w:val="20"/>
                      <w:szCs w:val="20"/>
                      <w:lang w:eastAsia="it-IT"/>
                    </w:rPr>
                    <w:t>Status:</w:t>
                  </w:r>
                </w:p>
              </w:tc>
              <w:tc>
                <w:tcPr>
                  <w:tcW w:w="2500" w:type="pct"/>
                  <w:tcMar>
                    <w:top w:w="75" w:type="dxa"/>
                    <w:left w:w="75" w:type="dxa"/>
                    <w:bottom w:w="75" w:type="dxa"/>
                    <w:right w:w="75" w:type="dxa"/>
                  </w:tcMar>
                  <w:hideMark/>
                </w:tcPr>
                <w:p w:rsidR="00392980" w:rsidRPr="00392980" w:rsidRDefault="00392980" w:rsidP="00392980">
                  <w:pPr>
                    <w:spacing w:after="0" w:line="240" w:lineRule="auto"/>
                    <w:rPr>
                      <w:rFonts w:ascii="Times New Roman" w:eastAsia="Times New Roman" w:hAnsi="Times New Roman" w:cs="Times New Roman"/>
                      <w:sz w:val="24"/>
                      <w:szCs w:val="24"/>
                      <w:lang w:eastAsia="it-IT"/>
                    </w:rPr>
                  </w:pPr>
                  <w:r w:rsidRPr="00392980">
                    <w:rPr>
                      <w:rFonts w:ascii="Arial" w:eastAsia="Times New Roman" w:hAnsi="Arial" w:cs="Arial"/>
                      <w:sz w:val="20"/>
                      <w:szCs w:val="20"/>
                      <w:lang w:eastAsia="it-IT"/>
                    </w:rPr>
                    <w:t>Approved</w:t>
                  </w:r>
                  <w:r w:rsidRPr="00392980">
                    <w:rPr>
                      <w:rFonts w:ascii="Arial" w:eastAsia="Times New Roman" w:hAnsi="Arial" w:cs="Arial"/>
                      <w:b/>
                      <w:bCs/>
                      <w:color w:val="4181C0"/>
                      <w:sz w:val="20"/>
                      <w:szCs w:val="20"/>
                      <w:lang w:eastAsia="it-IT"/>
                    </w:rPr>
                    <w:t xml:space="preserve"> </w:t>
                  </w:r>
                </w:p>
              </w:tc>
            </w:tr>
            <w:tr w:rsidR="00392980" w:rsidRPr="00392980">
              <w:trPr>
                <w:tblCellSpacing w:w="0" w:type="dxa"/>
              </w:trPr>
              <w:tc>
                <w:tcPr>
                  <w:tcW w:w="2500" w:type="pct"/>
                  <w:tcMar>
                    <w:top w:w="75" w:type="dxa"/>
                    <w:left w:w="75" w:type="dxa"/>
                    <w:bottom w:w="75" w:type="dxa"/>
                    <w:right w:w="75" w:type="dxa"/>
                  </w:tcMar>
                  <w:hideMark/>
                </w:tcPr>
                <w:p w:rsidR="00392980" w:rsidRPr="00392980" w:rsidRDefault="00392980" w:rsidP="00392980">
                  <w:pPr>
                    <w:spacing w:after="0" w:line="240" w:lineRule="auto"/>
                    <w:jc w:val="right"/>
                    <w:rPr>
                      <w:rFonts w:ascii="Times New Roman" w:eastAsia="Times New Roman" w:hAnsi="Times New Roman" w:cs="Times New Roman"/>
                      <w:sz w:val="24"/>
                      <w:szCs w:val="24"/>
                      <w:lang w:eastAsia="it-IT"/>
                    </w:rPr>
                  </w:pPr>
                  <w:r w:rsidRPr="00392980">
                    <w:rPr>
                      <w:rFonts w:ascii="Arial" w:eastAsia="Times New Roman" w:hAnsi="Arial" w:cs="Arial"/>
                      <w:b/>
                      <w:bCs/>
                      <w:color w:val="4181C0"/>
                      <w:sz w:val="20"/>
                      <w:szCs w:val="20"/>
                      <w:lang w:eastAsia="it-IT"/>
                    </w:rPr>
                    <w:t>Result:</w:t>
                  </w:r>
                </w:p>
              </w:tc>
              <w:tc>
                <w:tcPr>
                  <w:tcW w:w="2500" w:type="pct"/>
                  <w:tcMar>
                    <w:top w:w="75" w:type="dxa"/>
                    <w:left w:w="75" w:type="dxa"/>
                    <w:bottom w:w="75" w:type="dxa"/>
                    <w:right w:w="75" w:type="dxa"/>
                  </w:tcMar>
                  <w:hideMark/>
                </w:tcPr>
                <w:p w:rsidR="00392980" w:rsidRPr="00392980" w:rsidRDefault="00392980" w:rsidP="00392980">
                  <w:pPr>
                    <w:spacing w:after="0" w:line="240" w:lineRule="auto"/>
                    <w:rPr>
                      <w:rFonts w:ascii="Times New Roman" w:eastAsia="Times New Roman" w:hAnsi="Times New Roman" w:cs="Times New Roman"/>
                      <w:sz w:val="24"/>
                      <w:szCs w:val="24"/>
                      <w:lang w:eastAsia="it-IT"/>
                    </w:rPr>
                  </w:pPr>
                  <w:r w:rsidRPr="00392980">
                    <w:rPr>
                      <w:rFonts w:ascii="Arial" w:eastAsia="Times New Roman" w:hAnsi="Arial" w:cs="Arial"/>
                      <w:sz w:val="20"/>
                      <w:szCs w:val="20"/>
                      <w:lang w:eastAsia="it-IT"/>
                    </w:rPr>
                    <w:t>Dismiss</w:t>
                  </w:r>
                </w:p>
              </w:tc>
            </w:tr>
            <w:tr w:rsidR="00392980" w:rsidRPr="00392980">
              <w:trPr>
                <w:tblCellSpacing w:w="0" w:type="dxa"/>
              </w:trPr>
              <w:tc>
                <w:tcPr>
                  <w:tcW w:w="2500" w:type="pct"/>
                  <w:tcMar>
                    <w:top w:w="75" w:type="dxa"/>
                    <w:left w:w="75" w:type="dxa"/>
                    <w:bottom w:w="75" w:type="dxa"/>
                    <w:right w:w="75" w:type="dxa"/>
                  </w:tcMar>
                  <w:hideMark/>
                </w:tcPr>
                <w:p w:rsidR="00392980" w:rsidRPr="00392980" w:rsidRDefault="00392980" w:rsidP="00392980">
                  <w:pPr>
                    <w:spacing w:after="0" w:line="240" w:lineRule="auto"/>
                    <w:jc w:val="right"/>
                    <w:rPr>
                      <w:rFonts w:ascii="Times New Roman" w:eastAsia="Times New Roman" w:hAnsi="Times New Roman" w:cs="Times New Roman"/>
                      <w:sz w:val="24"/>
                      <w:szCs w:val="24"/>
                      <w:lang w:eastAsia="it-IT"/>
                    </w:rPr>
                  </w:pPr>
                  <w:r w:rsidRPr="00392980">
                    <w:rPr>
                      <w:rFonts w:ascii="Arial" w:eastAsia="Times New Roman" w:hAnsi="Arial" w:cs="Arial"/>
                      <w:b/>
                      <w:bCs/>
                      <w:color w:val="4181C0"/>
                      <w:sz w:val="20"/>
                      <w:szCs w:val="20"/>
                      <w:lang w:eastAsia="it-IT"/>
                    </w:rPr>
                    <w:t>Judgment by:</w:t>
                  </w:r>
                </w:p>
              </w:tc>
              <w:tc>
                <w:tcPr>
                  <w:tcW w:w="2500" w:type="pct"/>
                  <w:tcMar>
                    <w:top w:w="75" w:type="dxa"/>
                    <w:left w:w="75" w:type="dxa"/>
                    <w:bottom w:w="75" w:type="dxa"/>
                    <w:right w:w="75" w:type="dxa"/>
                  </w:tcMar>
                  <w:hideMark/>
                </w:tcPr>
                <w:p w:rsidR="00392980" w:rsidRPr="00392980" w:rsidRDefault="00392980" w:rsidP="00392980">
                  <w:pPr>
                    <w:spacing w:after="0" w:line="240" w:lineRule="auto"/>
                    <w:rPr>
                      <w:rFonts w:ascii="Times New Roman" w:eastAsia="Times New Roman" w:hAnsi="Times New Roman" w:cs="Times New Roman"/>
                      <w:sz w:val="24"/>
                      <w:szCs w:val="24"/>
                      <w:lang w:val="en-GB" w:eastAsia="it-IT"/>
                    </w:rPr>
                  </w:pPr>
                  <w:r w:rsidRPr="00392980">
                    <w:rPr>
                      <w:rFonts w:ascii="Arial" w:eastAsia="Times New Roman" w:hAnsi="Arial" w:cs="Arial"/>
                      <w:sz w:val="20"/>
                      <w:szCs w:val="20"/>
                      <w:lang w:val="en-GB" w:eastAsia="it-IT"/>
                    </w:rPr>
                    <w:t xml:space="preserve">Hogan J. </w:t>
                  </w:r>
                  <w:hyperlink r:id="rId18" w:anchor="judge2" w:history="1">
                    <w:r w:rsidRPr="00392980">
                      <w:rPr>
                        <w:rFonts w:ascii="Arial" w:eastAsia="Times New Roman" w:hAnsi="Arial" w:cs="Arial"/>
                        <w:color w:val="0000FF"/>
                        <w:sz w:val="20"/>
                        <w:szCs w:val="20"/>
                        <w:u w:val="single"/>
                        <w:lang w:val="en-GB" w:eastAsia="it-IT"/>
                      </w:rPr>
                      <w:t>Link to judgment</w:t>
                    </w:r>
                  </w:hyperlink>
                </w:p>
              </w:tc>
            </w:tr>
            <w:tr w:rsidR="00392980" w:rsidRPr="00392980">
              <w:trPr>
                <w:tblCellSpacing w:w="0" w:type="dxa"/>
              </w:trPr>
              <w:tc>
                <w:tcPr>
                  <w:tcW w:w="2500" w:type="pct"/>
                  <w:tcMar>
                    <w:top w:w="75" w:type="dxa"/>
                    <w:left w:w="75" w:type="dxa"/>
                    <w:bottom w:w="75" w:type="dxa"/>
                    <w:right w:w="75" w:type="dxa"/>
                  </w:tcMar>
                  <w:hideMark/>
                </w:tcPr>
                <w:p w:rsidR="00392980" w:rsidRPr="00392980" w:rsidRDefault="00392980" w:rsidP="00392980">
                  <w:pPr>
                    <w:spacing w:after="0" w:line="240" w:lineRule="auto"/>
                    <w:jc w:val="right"/>
                    <w:rPr>
                      <w:rFonts w:ascii="Times New Roman" w:eastAsia="Times New Roman" w:hAnsi="Times New Roman" w:cs="Times New Roman"/>
                      <w:sz w:val="24"/>
                      <w:szCs w:val="24"/>
                      <w:lang w:eastAsia="it-IT"/>
                    </w:rPr>
                  </w:pPr>
                  <w:r w:rsidRPr="00392980">
                    <w:rPr>
                      <w:rFonts w:ascii="Arial" w:eastAsia="Times New Roman" w:hAnsi="Arial" w:cs="Arial"/>
                      <w:b/>
                      <w:bCs/>
                      <w:color w:val="4181C0"/>
                      <w:sz w:val="20"/>
                      <w:szCs w:val="20"/>
                      <w:lang w:eastAsia="it-IT"/>
                    </w:rPr>
                    <w:t>Status:</w:t>
                  </w:r>
                </w:p>
              </w:tc>
              <w:tc>
                <w:tcPr>
                  <w:tcW w:w="2500" w:type="pct"/>
                  <w:tcMar>
                    <w:top w:w="75" w:type="dxa"/>
                    <w:left w:w="75" w:type="dxa"/>
                    <w:bottom w:w="75" w:type="dxa"/>
                    <w:right w:w="75" w:type="dxa"/>
                  </w:tcMar>
                  <w:hideMark/>
                </w:tcPr>
                <w:p w:rsidR="00392980" w:rsidRPr="00392980" w:rsidRDefault="00392980" w:rsidP="00392980">
                  <w:pPr>
                    <w:spacing w:after="0" w:line="240" w:lineRule="auto"/>
                    <w:rPr>
                      <w:rFonts w:ascii="Times New Roman" w:eastAsia="Times New Roman" w:hAnsi="Times New Roman" w:cs="Times New Roman"/>
                      <w:sz w:val="24"/>
                      <w:szCs w:val="24"/>
                      <w:lang w:eastAsia="it-IT"/>
                    </w:rPr>
                  </w:pPr>
                  <w:r w:rsidRPr="00392980">
                    <w:rPr>
                      <w:rFonts w:ascii="Arial" w:eastAsia="Times New Roman" w:hAnsi="Arial" w:cs="Arial"/>
                      <w:sz w:val="20"/>
                      <w:szCs w:val="20"/>
                      <w:lang w:eastAsia="it-IT"/>
                    </w:rPr>
                    <w:t>Approved</w:t>
                  </w:r>
                  <w:r w:rsidRPr="00392980">
                    <w:rPr>
                      <w:rFonts w:ascii="Arial" w:eastAsia="Times New Roman" w:hAnsi="Arial" w:cs="Arial"/>
                      <w:b/>
                      <w:bCs/>
                      <w:color w:val="4181C0"/>
                      <w:sz w:val="20"/>
                      <w:szCs w:val="20"/>
                      <w:lang w:eastAsia="it-IT"/>
                    </w:rPr>
                    <w:t xml:space="preserve"> </w:t>
                  </w:r>
                </w:p>
              </w:tc>
            </w:tr>
            <w:tr w:rsidR="00392980" w:rsidRPr="00392980">
              <w:trPr>
                <w:tblCellSpacing w:w="0" w:type="dxa"/>
              </w:trPr>
              <w:tc>
                <w:tcPr>
                  <w:tcW w:w="2500" w:type="pct"/>
                  <w:tcMar>
                    <w:top w:w="75" w:type="dxa"/>
                    <w:left w:w="75" w:type="dxa"/>
                    <w:bottom w:w="75" w:type="dxa"/>
                    <w:right w:w="75" w:type="dxa"/>
                  </w:tcMar>
                  <w:hideMark/>
                </w:tcPr>
                <w:p w:rsidR="00392980" w:rsidRPr="00392980" w:rsidRDefault="00392980" w:rsidP="00392980">
                  <w:pPr>
                    <w:spacing w:after="0" w:line="240" w:lineRule="auto"/>
                    <w:jc w:val="right"/>
                    <w:rPr>
                      <w:rFonts w:ascii="Times New Roman" w:eastAsia="Times New Roman" w:hAnsi="Times New Roman" w:cs="Times New Roman"/>
                      <w:sz w:val="24"/>
                      <w:szCs w:val="24"/>
                      <w:lang w:eastAsia="it-IT"/>
                    </w:rPr>
                  </w:pPr>
                  <w:r w:rsidRPr="00392980">
                    <w:rPr>
                      <w:rFonts w:ascii="Arial" w:eastAsia="Times New Roman" w:hAnsi="Arial" w:cs="Arial"/>
                      <w:b/>
                      <w:bCs/>
                      <w:color w:val="4181C0"/>
                      <w:sz w:val="20"/>
                      <w:szCs w:val="20"/>
                      <w:lang w:eastAsia="it-IT"/>
                    </w:rPr>
                    <w:t>Result:</w:t>
                  </w:r>
                </w:p>
              </w:tc>
              <w:tc>
                <w:tcPr>
                  <w:tcW w:w="2500" w:type="pct"/>
                  <w:tcMar>
                    <w:top w:w="75" w:type="dxa"/>
                    <w:left w:w="75" w:type="dxa"/>
                    <w:bottom w:w="75" w:type="dxa"/>
                    <w:right w:w="75" w:type="dxa"/>
                  </w:tcMar>
                  <w:hideMark/>
                </w:tcPr>
                <w:p w:rsidR="00392980" w:rsidRPr="00392980" w:rsidRDefault="00392980" w:rsidP="00392980">
                  <w:pPr>
                    <w:spacing w:after="0" w:line="240" w:lineRule="auto"/>
                    <w:rPr>
                      <w:rFonts w:ascii="Times New Roman" w:eastAsia="Times New Roman" w:hAnsi="Times New Roman" w:cs="Times New Roman"/>
                      <w:sz w:val="24"/>
                      <w:szCs w:val="24"/>
                      <w:lang w:eastAsia="it-IT"/>
                    </w:rPr>
                  </w:pPr>
                  <w:r w:rsidRPr="00392980">
                    <w:rPr>
                      <w:rFonts w:ascii="Arial" w:eastAsia="Times New Roman" w:hAnsi="Arial" w:cs="Arial"/>
                      <w:sz w:val="20"/>
                      <w:szCs w:val="20"/>
                      <w:lang w:eastAsia="it-IT"/>
                    </w:rPr>
                    <w:t>Dismiss</w:t>
                  </w:r>
                </w:p>
              </w:tc>
            </w:tr>
            <w:tr w:rsidR="00392980" w:rsidRPr="00392980">
              <w:trPr>
                <w:tblCellSpacing w:w="0" w:type="dxa"/>
              </w:trPr>
              <w:tc>
                <w:tcPr>
                  <w:tcW w:w="2500" w:type="pct"/>
                  <w:tcMar>
                    <w:top w:w="75" w:type="dxa"/>
                    <w:left w:w="75" w:type="dxa"/>
                    <w:bottom w:w="75" w:type="dxa"/>
                    <w:right w:w="75" w:type="dxa"/>
                  </w:tcMar>
                  <w:hideMark/>
                </w:tcPr>
                <w:p w:rsidR="00392980" w:rsidRPr="00392980" w:rsidRDefault="00392980" w:rsidP="00392980">
                  <w:pPr>
                    <w:spacing w:after="0" w:line="240" w:lineRule="auto"/>
                    <w:rPr>
                      <w:rFonts w:ascii="Times New Roman" w:eastAsia="Times New Roman" w:hAnsi="Times New Roman" w:cs="Times New Roman"/>
                      <w:sz w:val="24"/>
                      <w:szCs w:val="24"/>
                      <w:lang w:eastAsia="it-IT"/>
                    </w:rPr>
                  </w:pPr>
                </w:p>
              </w:tc>
              <w:tc>
                <w:tcPr>
                  <w:tcW w:w="2500" w:type="pct"/>
                  <w:tcMar>
                    <w:top w:w="75" w:type="dxa"/>
                    <w:left w:w="75" w:type="dxa"/>
                    <w:bottom w:w="75" w:type="dxa"/>
                    <w:right w:w="75" w:type="dxa"/>
                  </w:tcMar>
                  <w:hideMark/>
                </w:tcPr>
                <w:p w:rsidR="00392980" w:rsidRPr="00392980" w:rsidRDefault="00392980" w:rsidP="00392980">
                  <w:pPr>
                    <w:spacing w:after="0" w:line="240" w:lineRule="auto"/>
                    <w:rPr>
                      <w:rFonts w:ascii="Times New Roman" w:eastAsia="Times New Roman" w:hAnsi="Times New Roman" w:cs="Times New Roman"/>
                      <w:sz w:val="20"/>
                      <w:szCs w:val="20"/>
                      <w:lang w:eastAsia="it-IT"/>
                    </w:rPr>
                  </w:pPr>
                </w:p>
              </w:tc>
            </w:tr>
            <w:tr w:rsidR="00392980" w:rsidRPr="00392980">
              <w:trPr>
                <w:tblCellSpacing w:w="0" w:type="dxa"/>
              </w:trPr>
              <w:tc>
                <w:tcPr>
                  <w:tcW w:w="2500" w:type="pct"/>
                  <w:tcMar>
                    <w:top w:w="75" w:type="dxa"/>
                    <w:left w:w="75" w:type="dxa"/>
                    <w:bottom w:w="75" w:type="dxa"/>
                    <w:right w:w="75" w:type="dxa"/>
                  </w:tcMar>
                  <w:hideMark/>
                </w:tcPr>
                <w:p w:rsidR="00392980" w:rsidRPr="00392980" w:rsidRDefault="00392980" w:rsidP="00392980">
                  <w:pPr>
                    <w:spacing w:after="0" w:line="240" w:lineRule="auto"/>
                    <w:jc w:val="right"/>
                    <w:rPr>
                      <w:rFonts w:ascii="Times New Roman" w:eastAsia="Times New Roman" w:hAnsi="Times New Roman" w:cs="Times New Roman"/>
                      <w:sz w:val="24"/>
                      <w:szCs w:val="24"/>
                      <w:lang w:eastAsia="it-IT"/>
                    </w:rPr>
                  </w:pPr>
                  <w:r w:rsidRPr="00392980">
                    <w:rPr>
                      <w:rFonts w:ascii="Arial" w:eastAsia="Times New Roman" w:hAnsi="Arial" w:cs="Arial"/>
                      <w:b/>
                      <w:bCs/>
                      <w:color w:val="4181C0"/>
                      <w:sz w:val="20"/>
                      <w:szCs w:val="20"/>
                      <w:lang w:eastAsia="it-IT"/>
                    </w:rPr>
                    <w:t>Judgment by:</w:t>
                  </w:r>
                </w:p>
              </w:tc>
              <w:tc>
                <w:tcPr>
                  <w:tcW w:w="2500" w:type="pct"/>
                  <w:tcMar>
                    <w:top w:w="75" w:type="dxa"/>
                    <w:left w:w="75" w:type="dxa"/>
                    <w:bottom w:w="75" w:type="dxa"/>
                    <w:right w:w="75" w:type="dxa"/>
                  </w:tcMar>
                  <w:hideMark/>
                </w:tcPr>
                <w:p w:rsidR="00392980" w:rsidRPr="00392980" w:rsidRDefault="00392980" w:rsidP="00392980">
                  <w:pPr>
                    <w:spacing w:after="0" w:line="240" w:lineRule="auto"/>
                    <w:rPr>
                      <w:rFonts w:ascii="Times New Roman" w:eastAsia="Times New Roman" w:hAnsi="Times New Roman" w:cs="Times New Roman"/>
                      <w:sz w:val="24"/>
                      <w:szCs w:val="24"/>
                      <w:lang w:val="en-GB" w:eastAsia="it-IT"/>
                    </w:rPr>
                  </w:pPr>
                  <w:r w:rsidRPr="00392980">
                    <w:rPr>
                      <w:rFonts w:ascii="Arial" w:eastAsia="Times New Roman" w:hAnsi="Arial" w:cs="Arial"/>
                      <w:sz w:val="20"/>
                      <w:szCs w:val="20"/>
                      <w:lang w:val="en-GB" w:eastAsia="it-IT"/>
                    </w:rPr>
                    <w:t>Irvine J.</w:t>
                  </w:r>
                  <w:hyperlink r:id="rId19" w:anchor="judge3" w:history="1">
                    <w:r w:rsidRPr="00392980">
                      <w:rPr>
                        <w:rFonts w:ascii="Arial" w:eastAsia="Times New Roman" w:hAnsi="Arial" w:cs="Arial"/>
                        <w:color w:val="0000FF"/>
                        <w:sz w:val="20"/>
                        <w:szCs w:val="20"/>
                        <w:u w:val="single"/>
                        <w:lang w:val="en-GB" w:eastAsia="it-IT"/>
                      </w:rPr>
                      <w:t>Link to judgment</w:t>
                    </w:r>
                  </w:hyperlink>
                </w:p>
              </w:tc>
            </w:tr>
            <w:tr w:rsidR="00392980" w:rsidRPr="00392980">
              <w:trPr>
                <w:tblCellSpacing w:w="0" w:type="dxa"/>
              </w:trPr>
              <w:tc>
                <w:tcPr>
                  <w:tcW w:w="2500" w:type="pct"/>
                  <w:tcMar>
                    <w:top w:w="75" w:type="dxa"/>
                    <w:left w:w="75" w:type="dxa"/>
                    <w:bottom w:w="75" w:type="dxa"/>
                    <w:right w:w="75" w:type="dxa"/>
                  </w:tcMar>
                  <w:hideMark/>
                </w:tcPr>
                <w:p w:rsidR="00392980" w:rsidRPr="00392980" w:rsidRDefault="00392980" w:rsidP="00392980">
                  <w:pPr>
                    <w:spacing w:after="0" w:line="240" w:lineRule="auto"/>
                    <w:jc w:val="right"/>
                    <w:rPr>
                      <w:rFonts w:ascii="Times New Roman" w:eastAsia="Times New Roman" w:hAnsi="Times New Roman" w:cs="Times New Roman"/>
                      <w:sz w:val="24"/>
                      <w:szCs w:val="24"/>
                      <w:lang w:eastAsia="it-IT"/>
                    </w:rPr>
                  </w:pPr>
                  <w:r w:rsidRPr="00392980">
                    <w:rPr>
                      <w:rFonts w:ascii="Arial" w:eastAsia="Times New Roman" w:hAnsi="Arial" w:cs="Arial"/>
                      <w:b/>
                      <w:bCs/>
                      <w:color w:val="4181C0"/>
                      <w:sz w:val="20"/>
                      <w:szCs w:val="20"/>
                      <w:lang w:eastAsia="it-IT"/>
                    </w:rPr>
                    <w:t>Status:</w:t>
                  </w:r>
                </w:p>
              </w:tc>
              <w:tc>
                <w:tcPr>
                  <w:tcW w:w="2500" w:type="pct"/>
                  <w:tcMar>
                    <w:top w:w="75" w:type="dxa"/>
                    <w:left w:w="75" w:type="dxa"/>
                    <w:bottom w:w="75" w:type="dxa"/>
                    <w:right w:w="75" w:type="dxa"/>
                  </w:tcMar>
                  <w:hideMark/>
                </w:tcPr>
                <w:p w:rsidR="00392980" w:rsidRPr="00392980" w:rsidRDefault="00392980" w:rsidP="00392980">
                  <w:pPr>
                    <w:spacing w:after="0" w:line="240" w:lineRule="auto"/>
                    <w:rPr>
                      <w:rFonts w:ascii="Times New Roman" w:eastAsia="Times New Roman" w:hAnsi="Times New Roman" w:cs="Times New Roman"/>
                      <w:sz w:val="24"/>
                      <w:szCs w:val="24"/>
                      <w:lang w:eastAsia="it-IT"/>
                    </w:rPr>
                  </w:pPr>
                  <w:r w:rsidRPr="00392980">
                    <w:rPr>
                      <w:rFonts w:ascii="Arial" w:eastAsia="Times New Roman" w:hAnsi="Arial" w:cs="Arial"/>
                      <w:sz w:val="20"/>
                      <w:szCs w:val="20"/>
                      <w:lang w:eastAsia="it-IT"/>
                    </w:rPr>
                    <w:t>Approved</w:t>
                  </w:r>
                  <w:r w:rsidRPr="00392980">
                    <w:rPr>
                      <w:rFonts w:ascii="Arial" w:eastAsia="Times New Roman" w:hAnsi="Arial" w:cs="Arial"/>
                      <w:b/>
                      <w:bCs/>
                      <w:color w:val="4181C0"/>
                      <w:sz w:val="20"/>
                      <w:szCs w:val="20"/>
                      <w:lang w:eastAsia="it-IT"/>
                    </w:rPr>
                    <w:t xml:space="preserve"> </w:t>
                  </w:r>
                </w:p>
              </w:tc>
            </w:tr>
          </w:tbl>
          <w:p w:rsidR="00392980" w:rsidRPr="00392980" w:rsidRDefault="00392980" w:rsidP="00392980">
            <w:pPr>
              <w:spacing w:after="0" w:line="240" w:lineRule="auto"/>
              <w:rPr>
                <w:rFonts w:ascii="Times New Roman" w:eastAsia="Times New Roman" w:hAnsi="Times New Roman" w:cs="Times New Roman"/>
                <w:sz w:val="24"/>
                <w:szCs w:val="24"/>
                <w:lang w:eastAsia="it-IT"/>
              </w:rPr>
            </w:pPr>
            <w:r w:rsidRPr="00392980">
              <w:rPr>
                <w:rFonts w:ascii="Times New Roman" w:eastAsia="Times New Roman" w:hAnsi="Times New Roman" w:cs="Times New Roman"/>
                <w:sz w:val="24"/>
                <w:szCs w:val="24"/>
                <w:lang w:eastAsia="it-IT"/>
              </w:rPr>
              <w:pict>
                <v:rect id="_x0000_i102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66"/>
            </w:tblGrid>
            <w:tr w:rsidR="00392980" w:rsidRPr="00392980" w:rsidTr="0039298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
                  </w:tblGrid>
                  <w:tr w:rsidR="00392980" w:rsidRPr="00392980">
                    <w:trPr>
                      <w:tblCellSpacing w:w="15" w:type="dxa"/>
                    </w:trPr>
                    <w:tc>
                      <w:tcPr>
                        <w:tcW w:w="0" w:type="auto"/>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6"/>
                        </w:tblGrid>
                        <w:tr w:rsidR="00392980" w:rsidRPr="003929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2980" w:rsidRPr="00392980" w:rsidRDefault="00392980" w:rsidP="00392980">
                              <w:pPr>
                                <w:spacing w:after="0" w:line="240" w:lineRule="auto"/>
                                <w:rPr>
                                  <w:rFonts w:ascii="Times New Roman" w:eastAsia="Times New Roman" w:hAnsi="Times New Roman" w:cs="Times New Roman"/>
                                  <w:sz w:val="24"/>
                                  <w:szCs w:val="24"/>
                                  <w:lang w:eastAsia="it-IT"/>
                                </w:rPr>
                              </w:pPr>
                            </w:p>
                          </w:tc>
                        </w:tr>
                      </w:tbl>
                      <w:p w:rsidR="00392980" w:rsidRPr="00392980" w:rsidRDefault="00392980" w:rsidP="00392980">
                        <w:pPr>
                          <w:spacing w:after="0" w:line="240" w:lineRule="auto"/>
                          <w:rPr>
                            <w:rFonts w:ascii="Times New Roman" w:eastAsia="Times New Roman" w:hAnsi="Times New Roman" w:cs="Times New Roman"/>
                            <w:sz w:val="24"/>
                            <w:szCs w:val="24"/>
                            <w:lang w:eastAsia="it-IT"/>
                          </w:rPr>
                        </w:pPr>
                      </w:p>
                    </w:tc>
                  </w:tr>
                </w:tbl>
                <w:p w:rsidR="00392980" w:rsidRPr="00392980" w:rsidRDefault="00392980" w:rsidP="00392980">
                  <w:pPr>
                    <w:spacing w:after="0" w:line="240" w:lineRule="auto"/>
                    <w:rPr>
                      <w:rFonts w:ascii="Times New Roman" w:eastAsia="Times New Roman" w:hAnsi="Times New Roman" w:cs="Times New Roman"/>
                      <w:vanish/>
                      <w:sz w:val="24"/>
                      <w:szCs w:val="24"/>
                      <w:lang w:eastAsia="it-IT"/>
                    </w:rPr>
                  </w:pPr>
                </w:p>
                <w:tbl>
                  <w:tblPr>
                    <w:tblW w:w="0" w:type="auto"/>
                    <w:tblCellSpacing w:w="0" w:type="dxa"/>
                    <w:tblCellMar>
                      <w:left w:w="0" w:type="dxa"/>
                      <w:right w:w="0" w:type="dxa"/>
                    </w:tblCellMar>
                    <w:tblLook w:val="04A0" w:firstRow="1" w:lastRow="0" w:firstColumn="1" w:lastColumn="0" w:noHBand="0" w:noVBand="1"/>
                  </w:tblPr>
                  <w:tblGrid>
                    <w:gridCol w:w="8976"/>
                  </w:tblGrid>
                  <w:tr w:rsidR="00392980" w:rsidRPr="00392980">
                    <w:trPr>
                      <w:tblCellSpacing w:w="0" w:type="dxa"/>
                    </w:trPr>
                    <w:tc>
                      <w:tcPr>
                        <w:tcW w:w="14655" w:type="dxa"/>
                        <w:hideMark/>
                      </w:tcPr>
                      <w:p w:rsidR="00392980" w:rsidRPr="00392980" w:rsidRDefault="00392980" w:rsidP="00392980">
                        <w:pPr>
                          <w:spacing w:after="0" w:line="240" w:lineRule="auto"/>
                          <w:jc w:val="center"/>
                          <w:rPr>
                            <w:rFonts w:ascii="Times New Roman" w:eastAsia="Times New Roman" w:hAnsi="Times New Roman" w:cs="Times New Roman"/>
                            <w:sz w:val="24"/>
                            <w:szCs w:val="24"/>
                            <w:lang w:val="en-GB" w:eastAsia="it-IT"/>
                          </w:rPr>
                        </w:pPr>
                        <w:r w:rsidRPr="00392980">
                          <w:rPr>
                            <w:rFonts w:ascii="Times New Roman" w:eastAsia="Times New Roman" w:hAnsi="Times New Roman" w:cs="Times New Roman"/>
                            <w:sz w:val="24"/>
                            <w:szCs w:val="24"/>
                            <w:lang w:val="en-GB" w:eastAsia="it-IT"/>
                          </w:rPr>
                          <w:br/>
                        </w:r>
                        <w:r w:rsidRPr="00392980">
                          <w:rPr>
                            <w:rFonts w:ascii="Verdana" w:eastAsia="Times New Roman" w:hAnsi="Verdana" w:cs="Times New Roman"/>
                            <w:b/>
                            <w:bCs/>
                            <w:sz w:val="20"/>
                            <w:szCs w:val="20"/>
                            <w:lang w:val="en-GB" w:eastAsia="it-IT"/>
                          </w:rPr>
                          <w:t>THE COURT OF APPEAL</w:t>
                        </w:r>
                      </w:p>
                      <w:p w:rsidR="00392980" w:rsidRPr="00392980" w:rsidRDefault="00392980" w:rsidP="00392980">
                        <w:pPr>
                          <w:spacing w:after="0" w:line="240" w:lineRule="auto"/>
                          <w:jc w:val="right"/>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Neutral Citation Number: [2015] IECA 227</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jc w:val="right"/>
                          <w:rPr>
                            <w:rFonts w:ascii="Times New Roman" w:eastAsia="Times New Roman" w:hAnsi="Times New Roman" w:cs="Times New Roman"/>
                            <w:sz w:val="24"/>
                            <w:szCs w:val="24"/>
                            <w:lang w:val="en-GB" w:eastAsia="it-IT"/>
                          </w:rPr>
                        </w:pPr>
                        <w:r w:rsidRPr="00392980">
                          <w:rPr>
                            <w:rFonts w:ascii="Verdana" w:eastAsia="Times New Roman" w:hAnsi="Verdana" w:cs="Times New Roman"/>
                            <w:b/>
                            <w:bCs/>
                            <w:sz w:val="20"/>
                            <w:szCs w:val="20"/>
                            <w:lang w:val="en-GB" w:eastAsia="it-IT"/>
                          </w:rPr>
                          <w:t>Appeal No. 2015/48</w:t>
                        </w:r>
                      </w:p>
                      <w:p w:rsidR="00392980" w:rsidRPr="00392980" w:rsidRDefault="00392980" w:rsidP="00392980">
                        <w:pPr>
                          <w:spacing w:after="0" w:line="240" w:lineRule="auto"/>
                          <w:rPr>
                            <w:rFonts w:ascii="Times New Roman" w:eastAsia="Times New Roman" w:hAnsi="Times New Roman" w:cs="Times New Roman"/>
                            <w:sz w:val="24"/>
                            <w:szCs w:val="24"/>
                            <w:lang w:val="en-GB" w:eastAsia="it-IT"/>
                          </w:rPr>
                        </w:pPr>
                        <w:r w:rsidRPr="00392980">
                          <w:rPr>
                            <w:rFonts w:ascii="Times New Roman" w:eastAsia="Times New Roman" w:hAnsi="Times New Roman" w:cs="Times New Roman"/>
                            <w:sz w:val="24"/>
                            <w:szCs w:val="24"/>
                            <w:lang w:val="en-GB" w:eastAsia="it-IT"/>
                          </w:rPr>
                          <w:br/>
                        </w:r>
                        <w:r w:rsidRPr="00392980">
                          <w:rPr>
                            <w:rFonts w:ascii="Verdana" w:eastAsia="Times New Roman" w:hAnsi="Verdana" w:cs="Times New Roman"/>
                            <w:b/>
                            <w:bCs/>
                            <w:sz w:val="20"/>
                            <w:szCs w:val="20"/>
                            <w:lang w:val="en-GB" w:eastAsia="it-IT"/>
                          </w:rPr>
                          <w:t>Ryan P.</w:t>
                        </w:r>
                        <w:r w:rsidRPr="00392980">
                          <w:rPr>
                            <w:rFonts w:ascii="Times New Roman" w:eastAsia="Times New Roman" w:hAnsi="Times New Roman" w:cs="Times New Roman"/>
                            <w:sz w:val="24"/>
                            <w:szCs w:val="24"/>
                            <w:lang w:val="en-GB" w:eastAsia="it-IT"/>
                          </w:rPr>
                          <w:br/>
                        </w:r>
                        <w:r w:rsidRPr="00392980">
                          <w:rPr>
                            <w:rFonts w:ascii="Verdana" w:eastAsia="Times New Roman" w:hAnsi="Verdana" w:cs="Times New Roman"/>
                            <w:b/>
                            <w:bCs/>
                            <w:sz w:val="20"/>
                            <w:szCs w:val="20"/>
                            <w:lang w:val="en-GB" w:eastAsia="it-IT"/>
                          </w:rPr>
                          <w:t>Irvine J.</w:t>
                        </w:r>
                        <w:r w:rsidRPr="00392980">
                          <w:rPr>
                            <w:rFonts w:ascii="Times New Roman" w:eastAsia="Times New Roman" w:hAnsi="Times New Roman" w:cs="Times New Roman"/>
                            <w:sz w:val="24"/>
                            <w:szCs w:val="24"/>
                            <w:lang w:val="en-GB" w:eastAsia="it-IT"/>
                          </w:rPr>
                          <w:br/>
                        </w:r>
                        <w:r w:rsidRPr="00392980">
                          <w:rPr>
                            <w:rFonts w:ascii="Verdana" w:eastAsia="Times New Roman" w:hAnsi="Verdana" w:cs="Times New Roman"/>
                            <w:b/>
                            <w:bCs/>
                            <w:sz w:val="20"/>
                            <w:szCs w:val="20"/>
                            <w:lang w:val="en-GB" w:eastAsia="it-IT"/>
                          </w:rPr>
                          <w:lastRenderedPageBreak/>
                          <w:t>Hogan J.</w:t>
                        </w:r>
                        <w:r w:rsidRPr="00392980">
                          <w:rPr>
                            <w:rFonts w:ascii="Times New Roman" w:eastAsia="Times New Roman" w:hAnsi="Times New Roman" w:cs="Times New Roman"/>
                            <w:sz w:val="24"/>
                            <w:szCs w:val="24"/>
                            <w:lang w:val="en-GB" w:eastAsia="it-IT"/>
                          </w:rPr>
                          <w:br/>
                        </w:r>
                        <w:r w:rsidRPr="00392980">
                          <w:rPr>
                            <w:rFonts w:ascii="Verdana" w:eastAsia="Times New Roman" w:hAnsi="Verdana" w:cs="Times New Roman"/>
                            <w:b/>
                            <w:bCs/>
                            <w:sz w:val="20"/>
                            <w:szCs w:val="20"/>
                            <w:lang w:val="en-GB" w:eastAsia="it-IT"/>
                          </w:rPr>
                          <w:t>Between/</w:t>
                        </w:r>
                      </w:p>
                      <w:p w:rsidR="00392980" w:rsidRPr="00392980" w:rsidRDefault="00392980" w:rsidP="00392980">
                        <w:pPr>
                          <w:spacing w:after="0" w:line="240" w:lineRule="auto"/>
                          <w:jc w:val="center"/>
                          <w:rPr>
                            <w:rFonts w:ascii="Times New Roman" w:eastAsia="Times New Roman" w:hAnsi="Times New Roman" w:cs="Times New Roman"/>
                            <w:sz w:val="24"/>
                            <w:szCs w:val="24"/>
                            <w:lang w:val="en-GB" w:eastAsia="it-IT"/>
                          </w:rPr>
                        </w:pPr>
                        <w:r w:rsidRPr="00392980">
                          <w:rPr>
                            <w:rFonts w:ascii="Times New Roman" w:eastAsia="Times New Roman" w:hAnsi="Times New Roman" w:cs="Times New Roman"/>
                            <w:sz w:val="24"/>
                            <w:szCs w:val="24"/>
                            <w:lang w:val="en-GB" w:eastAsia="it-IT"/>
                          </w:rPr>
                          <w:br/>
                        </w:r>
                        <w:r w:rsidRPr="00392980">
                          <w:rPr>
                            <w:rFonts w:ascii="Verdana" w:eastAsia="Times New Roman" w:hAnsi="Verdana" w:cs="Times New Roman"/>
                            <w:b/>
                            <w:bCs/>
                            <w:sz w:val="20"/>
                            <w:szCs w:val="20"/>
                            <w:lang w:val="en-GB" w:eastAsia="it-IT"/>
                          </w:rPr>
                          <w:t>MINISTER FOR JUSTICE AND EQUALITY</w:t>
                        </w:r>
                      </w:p>
                      <w:p w:rsidR="00392980" w:rsidRPr="00392980" w:rsidRDefault="00392980" w:rsidP="00392980">
                        <w:pPr>
                          <w:spacing w:after="0" w:line="240" w:lineRule="auto"/>
                          <w:jc w:val="right"/>
                          <w:rPr>
                            <w:rFonts w:ascii="Times New Roman" w:eastAsia="Times New Roman" w:hAnsi="Times New Roman" w:cs="Times New Roman"/>
                            <w:sz w:val="24"/>
                            <w:szCs w:val="24"/>
                            <w:lang w:val="en-GB" w:eastAsia="it-IT"/>
                          </w:rPr>
                        </w:pPr>
                        <w:r w:rsidRPr="00392980">
                          <w:rPr>
                            <w:rFonts w:ascii="Verdana" w:eastAsia="Times New Roman" w:hAnsi="Verdana" w:cs="Times New Roman"/>
                            <w:b/>
                            <w:bCs/>
                            <w:sz w:val="20"/>
                            <w:szCs w:val="20"/>
                            <w:lang w:val="en-GB" w:eastAsia="it-IT"/>
                          </w:rPr>
                          <w:t>APPLICANT/RESPONDENT</w:t>
                        </w:r>
                      </w:p>
                      <w:p w:rsidR="00392980" w:rsidRPr="00392980" w:rsidRDefault="00392980" w:rsidP="00392980">
                        <w:pPr>
                          <w:spacing w:after="0" w:line="240" w:lineRule="auto"/>
                          <w:jc w:val="center"/>
                          <w:rPr>
                            <w:rFonts w:ascii="Times New Roman" w:eastAsia="Times New Roman" w:hAnsi="Times New Roman" w:cs="Times New Roman"/>
                            <w:sz w:val="24"/>
                            <w:szCs w:val="24"/>
                            <w:lang w:val="en-GB" w:eastAsia="it-IT"/>
                          </w:rPr>
                        </w:pPr>
                        <w:r w:rsidRPr="00392980">
                          <w:rPr>
                            <w:rFonts w:ascii="Verdana" w:eastAsia="Times New Roman" w:hAnsi="Verdana" w:cs="Times New Roman"/>
                            <w:b/>
                            <w:bCs/>
                            <w:sz w:val="20"/>
                            <w:szCs w:val="20"/>
                            <w:lang w:val="en-GB" w:eastAsia="it-IT"/>
                          </w:rPr>
                          <w:t>AND</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jc w:val="center"/>
                          <w:rPr>
                            <w:rFonts w:ascii="Times New Roman" w:eastAsia="Times New Roman" w:hAnsi="Times New Roman" w:cs="Times New Roman"/>
                            <w:sz w:val="24"/>
                            <w:szCs w:val="24"/>
                            <w:lang w:val="en-GB" w:eastAsia="it-IT"/>
                          </w:rPr>
                        </w:pPr>
                        <w:r w:rsidRPr="00392980">
                          <w:rPr>
                            <w:rFonts w:ascii="Verdana" w:eastAsia="Times New Roman" w:hAnsi="Verdana" w:cs="Times New Roman"/>
                            <w:b/>
                            <w:bCs/>
                            <w:sz w:val="20"/>
                            <w:szCs w:val="20"/>
                            <w:lang w:val="en-GB" w:eastAsia="it-IT"/>
                          </w:rPr>
                          <w:t>THOMAS O’CONNOR</w:t>
                        </w:r>
                      </w:p>
                      <w:p w:rsidR="00392980" w:rsidRPr="00392980" w:rsidRDefault="00392980" w:rsidP="00392980">
                        <w:pPr>
                          <w:spacing w:after="0" w:line="240" w:lineRule="auto"/>
                          <w:jc w:val="right"/>
                          <w:rPr>
                            <w:rFonts w:ascii="Times New Roman" w:eastAsia="Times New Roman" w:hAnsi="Times New Roman" w:cs="Times New Roman"/>
                            <w:sz w:val="24"/>
                            <w:szCs w:val="24"/>
                            <w:lang w:val="en-GB" w:eastAsia="it-IT"/>
                          </w:rPr>
                        </w:pPr>
                        <w:r w:rsidRPr="00392980">
                          <w:rPr>
                            <w:rFonts w:ascii="Verdana" w:eastAsia="Times New Roman" w:hAnsi="Verdana" w:cs="Times New Roman"/>
                            <w:b/>
                            <w:bCs/>
                            <w:sz w:val="20"/>
                            <w:szCs w:val="20"/>
                            <w:lang w:val="en-GB" w:eastAsia="it-IT"/>
                          </w:rPr>
                          <w:t>PLAINTIFF/APPELLANT</w:t>
                        </w:r>
                      </w:p>
                      <w:p w:rsidR="00392980" w:rsidRPr="00392980" w:rsidRDefault="00392980" w:rsidP="00392980">
                        <w:pPr>
                          <w:spacing w:after="0" w:line="240" w:lineRule="auto"/>
                          <w:rPr>
                            <w:rFonts w:ascii="Times New Roman" w:eastAsia="Times New Roman" w:hAnsi="Times New Roman" w:cs="Times New Roman"/>
                            <w:sz w:val="24"/>
                            <w:szCs w:val="24"/>
                            <w:lang w:val="en-GB" w:eastAsia="it-IT"/>
                          </w:rPr>
                        </w:pPr>
                        <w:r w:rsidRPr="00392980">
                          <w:rPr>
                            <w:rFonts w:ascii="Times New Roman" w:eastAsia="Times New Roman" w:hAnsi="Times New Roman" w:cs="Times New Roman"/>
                            <w:sz w:val="24"/>
                            <w:szCs w:val="24"/>
                            <w:lang w:val="en-GB" w:eastAsia="it-IT"/>
                          </w:rPr>
                          <w:br/>
                        </w:r>
                        <w:r w:rsidRPr="00392980">
                          <w:rPr>
                            <w:rFonts w:ascii="Times New Roman" w:eastAsia="Times New Roman" w:hAnsi="Times New Roman" w:cs="Times New Roman"/>
                            <w:sz w:val="24"/>
                            <w:szCs w:val="24"/>
                            <w:lang w:val="en-GB" w:eastAsia="it-IT"/>
                          </w:rPr>
                          <w:br/>
                        </w:r>
                        <w:bookmarkStart w:id="1" w:name="judge1"/>
                        <w:r w:rsidRPr="00392980">
                          <w:rPr>
                            <w:rFonts w:ascii="Verdana" w:eastAsia="Times New Roman" w:hAnsi="Verdana" w:cs="Times New Roman"/>
                            <w:b/>
                            <w:bCs/>
                            <w:sz w:val="20"/>
                            <w:szCs w:val="20"/>
                            <w:lang w:val="en-GB" w:eastAsia="it-IT"/>
                          </w:rPr>
                          <w:t xml:space="preserve">JUDGMENT of the Court delivered by the President on 23rd October 2015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b/>
                            <w:bCs/>
                            <w:sz w:val="20"/>
                            <w:szCs w:val="20"/>
                            <w:lang w:val="en-GB" w:eastAsia="it-IT"/>
                          </w:rPr>
                          <w:t>Introduction</w:t>
                        </w:r>
                        <w:r w:rsidRPr="00392980">
                          <w:rPr>
                            <w:rFonts w:ascii="Times New Roman" w:eastAsia="Times New Roman" w:hAnsi="Times New Roman" w:cs="Times New Roman"/>
                            <w:sz w:val="24"/>
                            <w:szCs w:val="24"/>
                            <w:lang w:val="en-GB" w:eastAsia="it-IT"/>
                          </w:rPr>
                          <w:br/>
                        </w:r>
                        <w:r w:rsidRPr="00392980">
                          <w:rPr>
                            <w:rFonts w:ascii="Verdana" w:eastAsia="Times New Roman" w:hAnsi="Verdana" w:cs="Times New Roman"/>
                            <w:sz w:val="20"/>
                            <w:szCs w:val="20"/>
                            <w:lang w:val="en-GB" w:eastAsia="it-IT"/>
                          </w:rPr>
                          <w:t>1. The European arrest warrant is a function of an EU Framework Decision that was intended to streamline extradition among Member States by replacing inter-State requests with enforcement of court orders from one country to another. The scheme is founded on trust in the systems of justice in the participating States. Cumbersome rules of procedure were replaced by a standard unified process that applied across the European Union. Strict time limits were laid down so that the process of transmitting a wanted person from where he was arrested to the requesting State court would operate smoothly and efficiently. Some of the old rules were dispensed with because they were thought to be unnecessary in the new community of trust in common precepts of substantive and procedural justice. The system was implemented in this country by the European Arrest Warrant Act 2003.</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2. In the case of Mr. Thomas O'Connor, the reality has not matched the expectation. The warrant was issued on 13th June 2011 and seeks his surrender to serve sentences for tax fraud that were imposed in 2007, and to face the charge of absconding and breaching his bail conditions. The first application failed and this case is concerned with a second warrant.</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3. The High Court ordered Mr. O'Connor's rendition, but gave him leave to appeal and thus the matter comes to this Court. There are, in fact, two proceedings and two appeals, but essentially, the same issue arises in them. One appeal is the extradition request and the other is a separate action by Mr. O'Connor seeking to have the legislation declared invalid having regard to the Constitution.</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4. Mr. O’Connor’s resistance to the request for an order that he be surrendered pursuant to the 2003 Act was based on the argument that the Attorney General’s Scheme - now called the Legal Aid (Custody Issues) Scheme - which is available to provide for payment of legal representation in EAW cases, is not compliant with the Framework Decision underpinning the European Arrest Warrant Scheme. As it applied at the relevant time, s. 10 of the European Arrest Warrant Act 2003 provided that the wanted person should, subject to and in accordance with the provisions of the Act and the Framework Decision, be arrested and surrendered to the issuing State. The section was amended to remove the reference to the Framework Decision but as it applied at the time, the section had the reference to the Decision. It is Mr. O’Connor’s contention in this case that the payment scheme provided for legal assistance under the Custody Issues Scheme is in conflict with the Framework Decision because it is provided on an administrative and discretionary basis and not by way of a formal binding and statutory right to free legal assistance provided in accordance with law.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5. The application for the enforcement of the warrant was heard by the High Court together with plenary proceedings by Mr. O’Connor based on the same factual </w:t>
                        </w:r>
                        <w:r w:rsidRPr="00392980">
                          <w:rPr>
                            <w:rFonts w:ascii="Verdana" w:eastAsia="Times New Roman" w:hAnsi="Verdana" w:cs="Times New Roman"/>
                            <w:sz w:val="20"/>
                            <w:szCs w:val="20"/>
                            <w:lang w:val="en-GB" w:eastAsia="it-IT"/>
                          </w:rPr>
                          <w:lastRenderedPageBreak/>
                          <w:t>circumstance. He claimed that the absence of a statutory scheme of legal aid, by contrast with provisions for qualified persons in criminal cases and for civil legal aid, constituted a breach of his constitutional rights, specifically, equality before the law under Article 40.1.</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6. The High Court rejected Mr. O’Connor’s challenge to the European Arrest Warrant proceedings and dismissed his plenary proceedings. The Court held that it should therefore proceed to make an order for the surrender of Mr. O’Connor. The Court subsequently refused an application for a reference to the Court of Justice of the European Union under Article 267 TFEU because it held that such a procedure was not available when the Court had already made its decision in a case, even if it had not actually delivered its judgment setting out the reasons, which was the situation in this case. The Court did, however, certify a point of law of exceptional public importance which it was desirable in the public interest to be the subject of appeal, applying s. 60(11) of the European Arrest Warrant Act 2003. The certified question was: </w:t>
                        </w:r>
                      </w:p>
                      <w:p w:rsidR="00392980" w:rsidRPr="00392980" w:rsidRDefault="00392980" w:rsidP="00392980">
                        <w:pPr>
                          <w:spacing w:after="0"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Is it correct that Article 11.2 of the Framework Decision (on the European Arrest Warrant) in conjunction with Article 47 of the EU Charter and the general principles of EU law imposes no obligation to provide legal aid, whether as of right or otherwise for indigent respondents in EAW cases who do not have the skill to represent themselves?</w:t>
                        </w:r>
                      </w:p>
                      <w:p w:rsidR="00392980" w:rsidRPr="00392980" w:rsidRDefault="00392980" w:rsidP="00392980">
                        <w:pPr>
                          <w:spacing w:after="0"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7. Mr. O’Connor’s challenge to the adequacy of the Custody Issues scheme arises in the context of what is required by the European Arrest Warrant Act 2003 and Council Framework Decision 2002/584/J.H.A.A. of 13th June 2002 on the European Arrest Warrant and the surrender procedures between Member States: O.J. L.190/1 18.7.2002. The relevant provision is in Article 11 which is as follows:</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after="0"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“1. When a requested person is arrested, the executing competent judicial authority shall, in accordance with national law, inform that person of the European Arrest Warrant and of its contents, and also of the possibility of consenting to surrender to the issue in judicial authority.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2. A requested person who was arrested for the purpose of execution of a European Arrest Warrant should have the right to be assisted by a legal Counsel and by an interpreter in accordance with the national law of the executing Member State.”</w:t>
                        </w:r>
                      </w:p>
                      <w:p w:rsidR="00392980" w:rsidRPr="00392980" w:rsidRDefault="00392980" w:rsidP="00392980">
                        <w:pPr>
                          <w:spacing w:after="0"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8. In his judgment in the High Court, Edwards J. cited the case </w:t>
                        </w:r>
                        <w:r w:rsidRPr="00392980">
                          <w:rPr>
                            <w:rFonts w:ascii="Verdana" w:eastAsia="Times New Roman" w:hAnsi="Verdana" w:cs="Times New Roman"/>
                            <w:i/>
                            <w:iCs/>
                            <w:sz w:val="20"/>
                            <w:szCs w:val="20"/>
                            <w:lang w:val="en-GB" w:eastAsia="it-IT"/>
                          </w:rPr>
                          <w:t>Minister for Justice, Equality and Law Reform v. Olsson</w:t>
                        </w:r>
                        <w:r w:rsidRPr="00392980">
                          <w:rPr>
                            <w:rFonts w:ascii="Verdana" w:eastAsia="Times New Roman" w:hAnsi="Verdana" w:cs="Times New Roman"/>
                            <w:sz w:val="20"/>
                            <w:szCs w:val="20"/>
                            <w:lang w:val="en-GB" w:eastAsia="it-IT"/>
                          </w:rPr>
                          <w:t xml:space="preserve"> [2011] 1. I.R. 384 in which the Supreme Court analysed the meaning and effect of Article 11.2 of the Framework Decision. The judge considered an argument that the Supreme Court authority was not binding, in that the interpretation of Article 11.2 was not part of the </w:t>
                        </w:r>
                        <w:r w:rsidRPr="00392980">
                          <w:rPr>
                            <w:rFonts w:ascii="Verdana" w:eastAsia="Times New Roman" w:hAnsi="Verdana" w:cs="Times New Roman"/>
                            <w:i/>
                            <w:iCs/>
                            <w:sz w:val="20"/>
                            <w:szCs w:val="20"/>
                            <w:lang w:val="en-GB" w:eastAsia="it-IT"/>
                          </w:rPr>
                          <w:t>ratio decidendi</w:t>
                        </w:r>
                        <w:r w:rsidRPr="00392980">
                          <w:rPr>
                            <w:rFonts w:ascii="Verdana" w:eastAsia="Times New Roman" w:hAnsi="Verdana" w:cs="Times New Roman"/>
                            <w:sz w:val="20"/>
                            <w:szCs w:val="20"/>
                            <w:lang w:val="en-GB" w:eastAsia="it-IT"/>
                          </w:rPr>
                          <w:t xml:space="preserve"> of the case and was, rather, obiter dictum which was a contention advanced by Counsel for Mr. O’Connor in the High Court and which was repeated in this Court. Edwards J. considered that such debate was arid because even if he was to consider the case not to be binding, the views of O’Donnell J. speaking for the Supreme Court coincided with the analysis of the Article that he himself had made.</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9. Mr. Forde S.C. for Mr. O'Connor does not dispute the applicability of the judgment in </w:t>
                        </w:r>
                        <w:r w:rsidRPr="00392980">
                          <w:rPr>
                            <w:rFonts w:ascii="Verdana" w:eastAsia="Times New Roman" w:hAnsi="Verdana" w:cs="Times New Roman"/>
                            <w:i/>
                            <w:iCs/>
                            <w:sz w:val="20"/>
                            <w:szCs w:val="20"/>
                            <w:lang w:val="en-GB" w:eastAsia="it-IT"/>
                          </w:rPr>
                          <w:t>Olsson</w:t>
                        </w:r>
                        <w:r w:rsidRPr="00392980">
                          <w:rPr>
                            <w:rFonts w:ascii="Verdana" w:eastAsia="Times New Roman" w:hAnsi="Verdana" w:cs="Times New Roman"/>
                            <w:sz w:val="20"/>
                            <w:szCs w:val="20"/>
                            <w:lang w:val="en-GB" w:eastAsia="it-IT"/>
                          </w:rPr>
                          <w:t xml:space="preserve"> to the issue now arising but argues that the reasoning is not binding on this Court because it was</w:t>
                        </w:r>
                        <w:r w:rsidRPr="00392980">
                          <w:rPr>
                            <w:rFonts w:ascii="Verdana" w:eastAsia="Times New Roman" w:hAnsi="Verdana" w:cs="Times New Roman"/>
                            <w:i/>
                            <w:iCs/>
                            <w:sz w:val="20"/>
                            <w:szCs w:val="20"/>
                            <w:lang w:val="en-GB" w:eastAsia="it-IT"/>
                          </w:rPr>
                          <w:t xml:space="preserve"> obiter</w:t>
                        </w:r>
                        <w:r w:rsidRPr="00392980">
                          <w:rPr>
                            <w:rFonts w:ascii="Verdana" w:eastAsia="Times New Roman" w:hAnsi="Verdana" w:cs="Times New Roman"/>
                            <w:sz w:val="20"/>
                            <w:szCs w:val="20"/>
                            <w:lang w:val="en-GB" w:eastAsia="it-IT"/>
                          </w:rPr>
                          <w:t xml:space="preserve"> and we are free to decide not to follow that precedent. If the decision is a binding precedent, Counsel candidly acknowledges that that is the end of Mr. O’Connor’s appeal in this Court. In that event, he must go elsewhere in search of a ruling that will save him from rendition. Counsel asks this Court to refer the point he raises to the Court of Justice of the European Union under Article 247 TFEU. Failing that, he proposes to ask the Supreme Court to receive the case and either allow the appeal or </w:t>
                        </w:r>
                        <w:r w:rsidRPr="00392980">
                          <w:rPr>
                            <w:rFonts w:ascii="Verdana" w:eastAsia="Times New Roman" w:hAnsi="Verdana" w:cs="Times New Roman"/>
                            <w:sz w:val="20"/>
                            <w:szCs w:val="20"/>
                            <w:lang w:val="en-GB" w:eastAsia="it-IT"/>
                          </w:rPr>
                          <w:lastRenderedPageBreak/>
                          <w:t xml:space="preserve">refer the question to Luxembourg. A party in the final national Court is entitled to have a matter of Union law referred under the Article unless it is </w:t>
                        </w:r>
                        <w:r w:rsidRPr="00392980">
                          <w:rPr>
                            <w:rFonts w:ascii="Verdana" w:eastAsia="Times New Roman" w:hAnsi="Verdana" w:cs="Times New Roman"/>
                            <w:i/>
                            <w:iCs/>
                            <w:sz w:val="20"/>
                            <w:szCs w:val="20"/>
                            <w:lang w:val="en-GB" w:eastAsia="it-IT"/>
                          </w:rPr>
                          <w:t>acte clair</w:t>
                        </w:r>
                        <w:r w:rsidRPr="00392980">
                          <w:rPr>
                            <w:rFonts w:ascii="Verdana" w:eastAsia="Times New Roman" w:hAnsi="Verdana" w:cs="Times New Roman"/>
                            <w:sz w:val="20"/>
                            <w:szCs w:val="20"/>
                            <w:lang w:val="en-GB" w:eastAsia="it-IT"/>
                          </w:rPr>
                          <w:t>.</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10. On one view this Court could confine its consideration of the appeal to the question of the precedential status of the admittedly relevant Supreme Court judgment in</w:t>
                        </w:r>
                        <w:r w:rsidRPr="00392980">
                          <w:rPr>
                            <w:rFonts w:ascii="Verdana" w:eastAsia="Times New Roman" w:hAnsi="Verdana" w:cs="Times New Roman"/>
                            <w:i/>
                            <w:iCs/>
                            <w:sz w:val="20"/>
                            <w:szCs w:val="20"/>
                            <w:lang w:val="en-GB" w:eastAsia="it-IT"/>
                          </w:rPr>
                          <w:t xml:space="preserve"> Olsson's</w:t>
                        </w:r>
                        <w:r w:rsidRPr="00392980">
                          <w:rPr>
                            <w:rFonts w:ascii="Verdana" w:eastAsia="Times New Roman" w:hAnsi="Verdana" w:cs="Times New Roman"/>
                            <w:sz w:val="20"/>
                            <w:szCs w:val="20"/>
                            <w:lang w:val="en-GB" w:eastAsia="it-IT"/>
                          </w:rPr>
                          <w:t xml:space="preserve"> case. However, having regard to the submissions filed by both sides that would not be satisfactory. The Court does of course know the arguments because we have the judgment of the High Court in which all the submissions are canvassed.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11. We are therefore concerned first with the issue of compliance with the Framework Decision and, secondly, with Mr. O’Connor’s challenge to the European Arrest Warrant Act, 2003.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b/>
                            <w:bCs/>
                            <w:sz w:val="20"/>
                            <w:szCs w:val="20"/>
                            <w:lang w:val="en-GB" w:eastAsia="it-IT"/>
                          </w:rPr>
                          <w:t>Olsson’s Case</w:t>
                        </w:r>
                        <w:r w:rsidRPr="00392980">
                          <w:rPr>
                            <w:rFonts w:ascii="Times New Roman" w:eastAsia="Times New Roman" w:hAnsi="Times New Roman" w:cs="Times New Roman"/>
                            <w:sz w:val="24"/>
                            <w:szCs w:val="24"/>
                            <w:lang w:val="en-GB" w:eastAsia="it-IT"/>
                          </w:rPr>
                          <w:br/>
                        </w:r>
                        <w:r w:rsidRPr="00392980">
                          <w:rPr>
                            <w:rFonts w:ascii="Verdana" w:eastAsia="Times New Roman" w:hAnsi="Verdana" w:cs="Times New Roman"/>
                            <w:sz w:val="20"/>
                            <w:szCs w:val="20"/>
                            <w:lang w:val="en-GB" w:eastAsia="it-IT"/>
                          </w:rPr>
                          <w:t>12. The headnote in Olsson’s case records the Supreme Court as holding as follows:</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after="0"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“1. That the Framework Decision imposed no obligation on a requesting State to provide legal aid. It merely provided for a right of representation and then only in accordance with the national law of the executing Member State. This right was vindicated in the present case.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2. That s. 13(4) of the Act of 2003 did not require the provision of legal assistance as of right. It required that information be provided to a requested person as to the nature and extent of his right to legal assistance and, if necessary, for such legal assistance to be provided to him. The Act was complied with once the respondent was informed of the circumstances in which he was entitled to benefit from the Attorney General’s Scheme and of the limitations on that Scheme.</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3. That there were aspects of the Attorney General’s Scheme which were enforceable, such as the right to make an application for legal assistance and the right to have one’s application considered.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4. That as applications for legal assistance under the Attorney General’s Scheme in European Arrest Warrant cases were only ever decided in the requested person’s favour (under the terms of the Scheme itself and on foot of assurances given to the Court on affidavit), the Attorney General had no residual discretion in such cases and where legal assistance was so provided it was provided as of right.</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5. That despite having been represented throughout the proceedings, the respondent still had </w:t>
                        </w:r>
                        <w:r w:rsidRPr="00392980">
                          <w:rPr>
                            <w:rFonts w:ascii="Verdana" w:eastAsia="Times New Roman" w:hAnsi="Verdana" w:cs="Times New Roman"/>
                            <w:i/>
                            <w:iCs/>
                            <w:sz w:val="20"/>
                            <w:szCs w:val="20"/>
                            <w:lang w:val="en-GB" w:eastAsia="it-IT"/>
                          </w:rPr>
                          <w:t>locus standi</w:t>
                        </w:r>
                        <w:r w:rsidRPr="00392980">
                          <w:rPr>
                            <w:rFonts w:ascii="Verdana" w:eastAsia="Times New Roman" w:hAnsi="Verdana" w:cs="Times New Roman"/>
                            <w:sz w:val="20"/>
                            <w:szCs w:val="20"/>
                            <w:lang w:val="en-GB" w:eastAsia="it-IT"/>
                          </w:rPr>
                          <w:t xml:space="preserve"> to argue that legal assistance had not been provided to him as of right as required by the Act of 2003. Further, as he was not merely seeking declaratory relief but was instead arguing that non-compliance with the Act prevented the Court from surrendering him, it could not be said that a finding in his favour would confer no substantial benefit.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 . .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i/>
                            <w:iCs/>
                            <w:sz w:val="20"/>
                            <w:szCs w:val="20"/>
                            <w:lang w:val="en-GB" w:eastAsia="it-IT"/>
                          </w:rPr>
                          <w:t>Obiter dictum:</w:t>
                        </w:r>
                        <w:r w:rsidRPr="00392980">
                          <w:rPr>
                            <w:rFonts w:ascii="Verdana" w:eastAsia="Times New Roman" w:hAnsi="Verdana" w:cs="Times New Roman"/>
                            <w:sz w:val="20"/>
                            <w:szCs w:val="20"/>
                            <w:lang w:val="en-GB" w:eastAsia="it-IT"/>
                          </w:rPr>
                          <w:t xml:space="preserve"> criminal legal aid was not a statutory entitlement but a constitutional right, albeit a right subject to criteria which limited its scope. A trial on a serious charge without such legal assistance would fall short of the constitutional standards guaranteed by Articles 38.1 and 34.1 of the Constitution.” </w:t>
                        </w:r>
                      </w:p>
                      <w:p w:rsidR="00392980" w:rsidRPr="00392980" w:rsidRDefault="00392980" w:rsidP="00392980">
                        <w:pPr>
                          <w:spacing w:after="0"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lastRenderedPageBreak/>
                          <w:t>13. In his judgment for the Supreme Court, O’Donnell J. said that “the point argued in this appeal is limited to the contention that the provision of legal assistance under the terms of the Scheme falls short of what is required by law for a person whose return is requested pursuant to a European Arrest Warrant”. He went on to say in the next paragraph that “The respondent’s case in this appeal depends on an interpretation of the Framework Decision and Act of 2003, as amended”. Interpreting Article 11.2, the judgment proceeds at para. [11]:</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after="0"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“The Framework Decision therefore imposes no obligation on the requested State to provide legal aid, whether as of right, or otherwise. It merely provides for a right of representation, and then only in accordance with the national law of the executing Member State. That right, and more, has unequivocally been vindicated in the present case”. </w:t>
                        </w:r>
                      </w:p>
                      <w:p w:rsidR="00392980" w:rsidRPr="00392980" w:rsidRDefault="00392980" w:rsidP="00392980">
                        <w:pPr>
                          <w:spacing w:after="0"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14. The High Court expressly agreed with the reasoning of O’Donnell J. in the </w:t>
                        </w:r>
                        <w:r w:rsidRPr="00392980">
                          <w:rPr>
                            <w:rFonts w:ascii="Verdana" w:eastAsia="Times New Roman" w:hAnsi="Verdana" w:cs="Times New Roman"/>
                            <w:i/>
                            <w:iCs/>
                            <w:sz w:val="20"/>
                            <w:szCs w:val="20"/>
                            <w:lang w:val="en-GB" w:eastAsia="it-IT"/>
                          </w:rPr>
                          <w:t>Olsson</w:t>
                        </w:r>
                        <w:r w:rsidRPr="00392980">
                          <w:rPr>
                            <w:rFonts w:ascii="Verdana" w:eastAsia="Times New Roman" w:hAnsi="Verdana" w:cs="Times New Roman"/>
                            <w:sz w:val="20"/>
                            <w:szCs w:val="20"/>
                            <w:lang w:val="en-GB" w:eastAsia="it-IT"/>
                          </w:rPr>
                          <w:t xml:space="preserve"> case, holding that for a person arrested under a European Arrest Warrant, “effective access to justice is in fact afforded by the guarantees provided in s. 13(4) of the Act of 2003, coupled with the possibility, which exists for persons unable to fund legal representation from within their own resources, of seeking a recommendation under the Attorney General’s Scheme/The Legal Aid (Custody Issues) Scheme that such representation should be paid for by the State. The evidence given in this Court by Mr. Gilheaney, which mirrors that given to the Supreme Court by Mr. Jevon Alcock in the </w:t>
                        </w:r>
                        <w:r w:rsidRPr="00392980">
                          <w:rPr>
                            <w:rFonts w:ascii="Verdana" w:eastAsia="Times New Roman" w:hAnsi="Verdana" w:cs="Times New Roman"/>
                            <w:i/>
                            <w:iCs/>
                            <w:sz w:val="20"/>
                            <w:szCs w:val="20"/>
                            <w:lang w:val="en-GB" w:eastAsia="it-IT"/>
                          </w:rPr>
                          <w:t>Olsson</w:t>
                        </w:r>
                        <w:r w:rsidRPr="00392980">
                          <w:rPr>
                            <w:rFonts w:ascii="Verdana" w:eastAsia="Times New Roman" w:hAnsi="Verdana" w:cs="Times New Roman"/>
                            <w:sz w:val="20"/>
                            <w:szCs w:val="20"/>
                            <w:lang w:val="en-GB" w:eastAsia="it-IT"/>
                          </w:rPr>
                          <w:t xml:space="preserve"> case, was that where a judicial recommendation is granted the Legal Aid Board invariably follows that recommendation. In reality, the discretion, such as it is, is only ever exercised, that is in favour of the applicant under the Scheme . . .”</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15. The Court held that there was no requirement for the Scheme to be a statutory scheme or otherwise established in law. It rejected the argument that the phrase “in accordance with national law” had to be given the narrow construction that it must be in legislation. In that connection, the Court rejected the argument that there was analogous authority in England in the case of </w:t>
                        </w:r>
                        <w:r w:rsidRPr="00392980">
                          <w:rPr>
                            <w:rFonts w:ascii="Verdana" w:eastAsia="Times New Roman" w:hAnsi="Verdana" w:cs="Times New Roman"/>
                            <w:i/>
                            <w:iCs/>
                            <w:sz w:val="20"/>
                            <w:szCs w:val="20"/>
                            <w:lang w:val="en-GB" w:eastAsia="it-IT"/>
                          </w:rPr>
                          <w:t>R. v. Secretary of State, ex p Fire Brigades Union</w:t>
                        </w:r>
                        <w:r w:rsidRPr="00392980">
                          <w:rPr>
                            <w:rFonts w:ascii="Verdana" w:eastAsia="Times New Roman" w:hAnsi="Verdana" w:cs="Times New Roman"/>
                            <w:sz w:val="20"/>
                            <w:szCs w:val="20"/>
                            <w:lang w:val="en-GB" w:eastAsia="it-IT"/>
                          </w:rPr>
                          <w:t xml:space="preserve"> </w:t>
                        </w:r>
                        <w:bookmarkEnd w:id="1"/>
                        <w:r w:rsidRPr="00392980">
                          <w:rPr>
                            <w:rFonts w:ascii="Verdana" w:eastAsia="Times New Roman" w:hAnsi="Verdana" w:cs="Times New Roman"/>
                            <w:sz w:val="20"/>
                            <w:szCs w:val="20"/>
                            <w:lang w:eastAsia="it-IT"/>
                          </w:rPr>
                          <w:fldChar w:fldCharType="begin"/>
                        </w:r>
                        <w:r w:rsidRPr="00392980">
                          <w:rPr>
                            <w:rFonts w:ascii="Verdana" w:eastAsia="Times New Roman" w:hAnsi="Verdana" w:cs="Times New Roman"/>
                            <w:sz w:val="20"/>
                            <w:szCs w:val="20"/>
                            <w:lang w:val="en-GB" w:eastAsia="it-IT"/>
                          </w:rPr>
                          <w:instrText xml:space="preserve"> HYPERLINK "http://www.bailii.org/uk/cases/UKHL/1995/3.html" \o "Link to BAILII version" </w:instrText>
                        </w:r>
                        <w:r w:rsidRPr="00392980">
                          <w:rPr>
                            <w:rFonts w:ascii="Verdana" w:eastAsia="Times New Roman" w:hAnsi="Verdana" w:cs="Times New Roman"/>
                            <w:sz w:val="20"/>
                            <w:szCs w:val="20"/>
                            <w:lang w:eastAsia="it-IT"/>
                          </w:rPr>
                          <w:fldChar w:fldCharType="separate"/>
                        </w:r>
                        <w:r w:rsidRPr="00392980">
                          <w:rPr>
                            <w:rFonts w:ascii="Verdana" w:eastAsia="Times New Roman" w:hAnsi="Verdana" w:cs="Times New Roman"/>
                            <w:color w:val="0000FF"/>
                            <w:sz w:val="20"/>
                            <w:szCs w:val="20"/>
                            <w:u w:val="single"/>
                            <w:lang w:val="en-GB" w:eastAsia="it-IT"/>
                          </w:rPr>
                          <w:t>[1995] 2 A.C. 513</w:t>
                        </w:r>
                        <w:r w:rsidRPr="00392980">
                          <w:rPr>
                            <w:rFonts w:ascii="Verdana" w:eastAsia="Times New Roman" w:hAnsi="Verdana" w:cs="Times New Roman"/>
                            <w:sz w:val="20"/>
                            <w:szCs w:val="20"/>
                            <w:lang w:eastAsia="it-IT"/>
                          </w:rPr>
                          <w:fldChar w:fldCharType="end"/>
                        </w:r>
                        <w:r w:rsidRPr="00392980">
                          <w:rPr>
                            <w:rFonts w:ascii="Verdana" w:eastAsia="Times New Roman" w:hAnsi="Verdana" w:cs="Times New Roman"/>
                            <w:sz w:val="20"/>
                            <w:szCs w:val="20"/>
                            <w:lang w:val="en-GB" w:eastAsia="it-IT"/>
                          </w:rPr>
                          <w:t>. The facts of the case were wholly different and inapplicable to the present controversy.</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16. Edwards J. also rejected the other arguments put forward on Mr. O’Connor’s behalf. In particular, he held that the requirement to provide legal aid in certain cases which is contained in Article 47 para. 3 of the Charter of Fundamental Rights, even assuming that it was applicable in the present case, was based on the need to ensure effective access to justice. That did not specify the form in which the legal aid was provided and the essential requirement was for effective access to justice. That was available in the present case under the Custody Interest Scheme. That approach was also the basis for the High Court’s rejection of the argument grounding Mr. O’Connor’s plenary action. Edwards J. went on to hold as follows:</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after="0"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“The Act of 2003 enjoys the presumption of constitutionality, and the respondent/plaintiff bears the burden of rebutting that which is presumed. In this Court’s view, there is simply no evidence before it that the Act of 2003 is constitutionally deficient in any respect, or that it permits of any unconstitutional discrimination; or for that matter that the Act of 2003 fails to respect EU law and in particular the principle of equivalence. Accordingly, the presumption of constitutionality has not been rebutted with respect to the Act of 2003, and the Court has no reason to believe that the Act of 2003 is constitutionally deficient in any respect, or that it breaches the principle of equality before law as guaranteed in Article 40.1 of the Constitution.”</w:t>
                        </w:r>
                      </w:p>
                      <w:p w:rsidR="00392980" w:rsidRPr="00392980" w:rsidRDefault="00392980" w:rsidP="00392980">
                        <w:pPr>
                          <w:spacing w:after="0"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17. Mr. Forde sought to distinguish </w:t>
                        </w:r>
                        <w:r w:rsidRPr="00392980">
                          <w:rPr>
                            <w:rFonts w:ascii="Verdana" w:eastAsia="Times New Roman" w:hAnsi="Verdana" w:cs="Times New Roman"/>
                            <w:i/>
                            <w:iCs/>
                            <w:sz w:val="20"/>
                            <w:szCs w:val="20"/>
                            <w:lang w:val="en-GB" w:eastAsia="it-IT"/>
                          </w:rPr>
                          <w:t>Olssen</w:t>
                        </w:r>
                        <w:r w:rsidRPr="00392980">
                          <w:rPr>
                            <w:rFonts w:ascii="Verdana" w:eastAsia="Times New Roman" w:hAnsi="Verdana" w:cs="Times New Roman"/>
                            <w:sz w:val="20"/>
                            <w:szCs w:val="20"/>
                            <w:lang w:val="en-GB" w:eastAsia="it-IT"/>
                          </w:rPr>
                          <w:t xml:space="preserve"> from this case, saying that there were three fundamental differences, namely:</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after="0"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a. </w:t>
                        </w:r>
                        <w:r w:rsidRPr="00392980">
                          <w:rPr>
                            <w:rFonts w:ascii="Verdana" w:eastAsia="Times New Roman" w:hAnsi="Verdana" w:cs="Times New Roman"/>
                            <w:i/>
                            <w:iCs/>
                            <w:sz w:val="20"/>
                            <w:szCs w:val="20"/>
                            <w:lang w:val="en-GB" w:eastAsia="it-IT"/>
                          </w:rPr>
                          <w:t xml:space="preserve">Olssen </w:t>
                        </w:r>
                        <w:r w:rsidRPr="00392980">
                          <w:rPr>
                            <w:rFonts w:ascii="Verdana" w:eastAsia="Times New Roman" w:hAnsi="Verdana" w:cs="Times New Roman"/>
                            <w:sz w:val="20"/>
                            <w:szCs w:val="20"/>
                            <w:lang w:val="en-GB" w:eastAsia="it-IT"/>
                          </w:rPr>
                          <w:t xml:space="preserve">was, he said, invited to apply for the scheme and was told that the recommendation would not be opposed and there is an affidavit from </w:t>
                        </w:r>
                        <w:r w:rsidRPr="00392980">
                          <w:rPr>
                            <w:rFonts w:ascii="Verdana" w:eastAsia="Times New Roman" w:hAnsi="Verdana" w:cs="Times New Roman"/>
                            <w:sz w:val="20"/>
                            <w:szCs w:val="20"/>
                            <w:lang w:val="en-GB" w:eastAsia="it-IT"/>
                          </w:rPr>
                          <w:lastRenderedPageBreak/>
                          <w:t>a Civil Servant saying that the recommendation will be honoured if made. That is one contrast because it has not happened in the O’Connor case.</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b. Mr. Olssen was represented at al stages by solicitor and Counsel.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c. Counsel says that if it was intended to be binding, O’Donnell J. would have conducted a very detailed analysis of the provision by examining the French version of the Framework Decision and the preparatory materials, the ICC statute. In the circumstances, therefore, the Court said that this was moot; it was an academic argument.</w:t>
                        </w:r>
                      </w:p>
                      <w:p w:rsidR="00392980" w:rsidRPr="00392980" w:rsidRDefault="00392980" w:rsidP="00392980">
                        <w:pPr>
                          <w:spacing w:after="0"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18. Mr. Forde suggests that there would be little point in having the right expressed as it is unless it was intended that there would be provision for legal assistance when a requested person could not afford to pay for it himself. He cited the European Convention on Human Rights Article 6(1)(c) in support. It could not have been intended that the requested person would be deprived of legal assistance in a matter of potentially great complexity such as extradition.</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19. In his submissions, Mr. Shane Murphy S.C. adopts the analysis of Edwards J., in which he held that the proper interpretation of Article 11.2 was central to the decision in the </w:t>
                        </w:r>
                        <w:r w:rsidRPr="00392980">
                          <w:rPr>
                            <w:rFonts w:ascii="Verdana" w:eastAsia="Times New Roman" w:hAnsi="Verdana" w:cs="Times New Roman"/>
                            <w:i/>
                            <w:iCs/>
                            <w:sz w:val="20"/>
                            <w:szCs w:val="20"/>
                            <w:lang w:val="en-GB" w:eastAsia="it-IT"/>
                          </w:rPr>
                          <w:t>Olsson</w:t>
                        </w:r>
                        <w:r w:rsidRPr="00392980">
                          <w:rPr>
                            <w:rFonts w:ascii="Verdana" w:eastAsia="Times New Roman" w:hAnsi="Verdana" w:cs="Times New Roman"/>
                            <w:sz w:val="20"/>
                            <w:szCs w:val="20"/>
                            <w:lang w:val="en-GB" w:eastAsia="it-IT"/>
                          </w:rPr>
                          <w:t xml:space="preserve"> case. The High Court considered questionable the suggestion that Article 47 para. 3 of the Charter of Fundamental Rights actually applied to European arrest warrant cases. Even if it did, the Court was satisfied that the important point was the service provided to the person involved and not the mode of provision thereof. The judge rejected the submission that the expression “in accordance with national law” demanded provision by legislation and that some other method such as the non-statutory scheme in question amounted to a contravention of that requirement.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20. In my view, the High Court judge was correct and this submission is valid. The points of difference proposed by Counsel for Mr. O’Connor do not actually distinguish the cases. Indeed, the evidence as to the operation of the existing scheme was to the same effect. None of the features affects the principle that is clearly and unequivocally stated by the Supreme Court. The Supreme Court addressed the precise issue that is in question here. The judgment given by O’Donnell J. represented the unanimous view of the members of the Court. The judgment identifies the specific question and deals with it in the clearest of terms. In the circumstances, it is unavoidable that the decision in </w:t>
                        </w:r>
                        <w:r w:rsidRPr="00392980">
                          <w:rPr>
                            <w:rFonts w:ascii="Verdana" w:eastAsia="Times New Roman" w:hAnsi="Verdana" w:cs="Times New Roman"/>
                            <w:i/>
                            <w:iCs/>
                            <w:sz w:val="20"/>
                            <w:szCs w:val="20"/>
                            <w:lang w:val="en-GB" w:eastAsia="it-IT"/>
                          </w:rPr>
                          <w:t>Olsson</w:t>
                        </w:r>
                        <w:r w:rsidRPr="00392980">
                          <w:rPr>
                            <w:rFonts w:ascii="Verdana" w:eastAsia="Times New Roman" w:hAnsi="Verdana" w:cs="Times New Roman"/>
                            <w:sz w:val="20"/>
                            <w:szCs w:val="20"/>
                            <w:lang w:val="en-GB" w:eastAsia="it-IT"/>
                          </w:rPr>
                          <w:t xml:space="preserve"> is binding on this Court.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21. Incidental confirmation of the conclusions of the Supreme Court and Edwards J. is to be found in recent developments in the European Union, although it appears that they will not apply in Ireland or the United Kingdom. The EU has been endeavouring to find a mode of provision of free legal aid in cases of EAW, as well as in criminal proceedings generally. There are wide variations in the different Member States’ methods of providing legal aid. Some progress has been made since 2009 towards harmonising procedural safeguards in criminal cases: there are Directives on translation of proceedings, on provision of information and on the right to legal representation itself. A Directive was proposed in late 2013 and is under discussion with the Parliament which would require provision of legal aid for persons the subject of European Arrest Warrant proceedings: Council Document 6603/15. Such Community legislation would not be necessary if the Framework Decision already required free legal aid to be available for wanted persons. It also follows that there is at present no Community provision as to the means whereby legal aid is to be provided. That has been left to the national regimes of the Member States.</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22. There is Community law recognition of the right of a wanted person to get legal assistance. It is the method of payment for such services that has not been harmonised </w:t>
                        </w:r>
                        <w:r w:rsidRPr="00392980">
                          <w:rPr>
                            <w:rFonts w:ascii="Verdana" w:eastAsia="Times New Roman" w:hAnsi="Verdana" w:cs="Times New Roman"/>
                            <w:sz w:val="20"/>
                            <w:szCs w:val="20"/>
                            <w:lang w:val="en-GB" w:eastAsia="it-IT"/>
                          </w:rPr>
                          <w:lastRenderedPageBreak/>
                          <w:t xml:space="preserve">to date. The right to representation is reflected in the Framework Decision but that is substantially short of provision of legal aid for wanted persons in warrant cases.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23. This was the context of the decision of the Supreme Court in </w:t>
                        </w:r>
                        <w:r w:rsidRPr="00392980">
                          <w:rPr>
                            <w:rFonts w:ascii="Verdana" w:eastAsia="Times New Roman" w:hAnsi="Verdana" w:cs="Times New Roman"/>
                            <w:i/>
                            <w:iCs/>
                            <w:sz w:val="20"/>
                            <w:szCs w:val="20"/>
                            <w:lang w:val="en-GB" w:eastAsia="it-IT"/>
                          </w:rPr>
                          <w:t>Olsson</w:t>
                        </w:r>
                        <w:r w:rsidRPr="00392980">
                          <w:rPr>
                            <w:rFonts w:ascii="Verdana" w:eastAsia="Times New Roman" w:hAnsi="Verdana" w:cs="Times New Roman"/>
                            <w:sz w:val="20"/>
                            <w:szCs w:val="20"/>
                            <w:lang w:val="en-GB" w:eastAsia="it-IT"/>
                          </w:rPr>
                          <w:t xml:space="preserve">. The Court held in unequivocal terms that the Framework Decision does not provide a right to have assistance at the State’s expense. Of course, the particular State may provide legal aid and that may be considered to be a legal or Constitutional right under national law. </w:t>
                        </w:r>
                        <w:r w:rsidRPr="00392980">
                          <w:rPr>
                            <w:rFonts w:ascii="Verdana" w:eastAsia="Times New Roman" w:hAnsi="Verdana" w:cs="Times New Roman"/>
                            <w:i/>
                            <w:iCs/>
                            <w:sz w:val="20"/>
                            <w:szCs w:val="20"/>
                            <w:lang w:val="en-GB" w:eastAsia="it-IT"/>
                          </w:rPr>
                          <w:t>Olsson</w:t>
                        </w:r>
                        <w:r w:rsidRPr="00392980">
                          <w:rPr>
                            <w:rFonts w:ascii="Verdana" w:eastAsia="Times New Roman" w:hAnsi="Verdana" w:cs="Times New Roman"/>
                            <w:sz w:val="20"/>
                            <w:szCs w:val="20"/>
                            <w:lang w:val="en-GB" w:eastAsia="it-IT"/>
                          </w:rPr>
                          <w:t xml:space="preserve"> does not deny such entitlement; it rejects the proposition that the Framework Decision provides for or requires legal aid in its terms.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24. The significance is that if EU law does not itself require this service, it follows that Mr. O’Connor cannot invoke Community law principles whereby to challenge the method of supply of legal aid under our national law.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25. The Custody Issues Scheme of legal aid is therefore not in conflict with EU law generally or the Framework Decision specifically. These recent developments in the Community legislative process provide incidental confirmation of the Supreme Court’s analysis of the Framework Decision.</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26. Mr. Forde applies to the Court in the event that it is of the view that the Supreme Court decision in </w:t>
                        </w:r>
                        <w:r w:rsidRPr="00392980">
                          <w:rPr>
                            <w:rFonts w:ascii="Verdana" w:eastAsia="Times New Roman" w:hAnsi="Verdana" w:cs="Times New Roman"/>
                            <w:i/>
                            <w:iCs/>
                            <w:sz w:val="20"/>
                            <w:szCs w:val="20"/>
                            <w:lang w:val="en-GB" w:eastAsia="it-IT"/>
                          </w:rPr>
                          <w:t>Olsson</w:t>
                        </w:r>
                        <w:r w:rsidRPr="00392980">
                          <w:rPr>
                            <w:rFonts w:ascii="Verdana" w:eastAsia="Times New Roman" w:hAnsi="Verdana" w:cs="Times New Roman"/>
                            <w:sz w:val="20"/>
                            <w:szCs w:val="20"/>
                            <w:lang w:val="en-GB" w:eastAsia="it-IT"/>
                          </w:rPr>
                          <w:t xml:space="preserve"> is binding to make a reference to the Court of Justice of the European Union under Article 267 TFEU. That possibility exists now because the time period in which such references were not permitted has now expired. That would not, however, be an appropriate course to adopt even if this Court were minded to take a different view of the issue than that of the Supreme Court. While it is always prudent in these matters to eschew absolute rules, it would not be proper for this Court to seek to overturn a Supreme Court decision that was binding otherwise by referring the matter to the Court of Justice in hope of securing a different result. That would be inconsistent with the Constitutional structural relationship and the comity of the courts and is not something that this Court would be prepared to consider otherwise than in wholly exceptional circumstances. Nothing of that kind arises here.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b/>
                            <w:bCs/>
                            <w:sz w:val="20"/>
                            <w:szCs w:val="20"/>
                            <w:lang w:val="en-GB" w:eastAsia="it-IT"/>
                          </w:rPr>
                          <w:t>Mr. O’Connor’s Plenary Proceedings</w:t>
                        </w:r>
                        <w:r w:rsidRPr="00392980">
                          <w:rPr>
                            <w:rFonts w:ascii="Times New Roman" w:eastAsia="Times New Roman" w:hAnsi="Times New Roman" w:cs="Times New Roman"/>
                            <w:sz w:val="24"/>
                            <w:szCs w:val="24"/>
                            <w:lang w:val="en-GB" w:eastAsia="it-IT"/>
                          </w:rPr>
                          <w:br/>
                        </w:r>
                        <w:r w:rsidRPr="00392980">
                          <w:rPr>
                            <w:rFonts w:ascii="Verdana" w:eastAsia="Times New Roman" w:hAnsi="Verdana" w:cs="Times New Roman"/>
                            <w:sz w:val="20"/>
                            <w:szCs w:val="20"/>
                            <w:lang w:val="en-GB" w:eastAsia="it-IT"/>
                          </w:rPr>
                          <w:t xml:space="preserve">27. The High Court rejected the submission by the Minister and the other defendants that Mr. O’Connor did not have standing to make his challenge in this case. There is a cross-appeal against that ruling. In my judgment, the claim in this action cannot succeed for other reasons which make it unnecessary to embark on this question. The point will be clearer when I have discussed this part of the appeal.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28. The claim in Mr. O’Connor’s statement of claim is that he would be eligible because of his limited means to obtain legal aid under either the statutory criminal provision or the civil scheme. That is his right. Article 11(2) of the Framework Decision requires that there be a statutory scheme for subjects of EAW applications. The 2003 Act does not provide for legal aid and is therefore invalid, having regard to the provisions of the Constitution. That is for two reasons as claimed: first, because it is in conflict with the State’s obligations under Community law, which is discussed above. Secondly, it contravenes the guarantee of equality in Article 40.1 of the Constitution. Since legal aid is available on such formal basis for persons encountering legal process in comparable circumstances or in matters of lesser consequence for the individual, the absence of similar facility in statutory form in extradition represents an unlawful distinction that is contrary to the right to equality. The statement of claim instances by comparison and contrast a minor criminal offence and a matter coming under the International Criminal Court Act 2006, to demonstrate affairs at different ends of the spectrum which carry with them statutory legal aid entitlement. It may immediately be noted that the Rome Statute and the enacting legislation specify the availability of legal aid.</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lastRenderedPageBreak/>
                          <w:t>29. Mr. O’Connor’s claim, as stated, does not make it apparent how it could render the 2003 EAW Act invalid, which is the relief it seeks. That Act does not inhibit access to legal assistance. It does not provide that an individual is limited to access to a discretionary scheme. The argument by Mr. O’Connor’s Counsel seeks the invalidation of the Act because of what it does not contain. The claim refers to the whole Act, despite declaring that the Act is, in the specified circumstances of alleged discrimination, “unconstitutional . . . to that extent”. This must mean at least that all of the provisions relating to rendition of the subject of the warrant are to be condemned as invalid. There is no halfway house in this area. If the legislation is infirm because of non-compliance with the Constitution, then it must be declared invalid.</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30. Under s. 13 (4) of the Act, “A person arrested under a European arrest warrant shall, upon his arrest, be informed of his right to (b) obtain, or be provided with, professional legal advice . . .” Section 29.—(1) is as follows:-</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after="0"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“A person shall not be surrendered under this Act if —</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after="0" w:line="240" w:lineRule="auto"/>
                          <w:ind w:left="2160"/>
                          <w:rPr>
                            <w:rFonts w:ascii="Times New Roman" w:eastAsia="Times New Roman" w:hAnsi="Times New Roman" w:cs="Times New Roman"/>
                            <w:sz w:val="24"/>
                            <w:szCs w:val="24"/>
                            <w:lang w:val="en-GB" w:eastAsia="it-IT"/>
                          </w:rPr>
                        </w:pPr>
                        <w:r w:rsidRPr="00392980">
                          <w:rPr>
                            <w:rFonts w:ascii="Times New Roman" w:eastAsia="Times New Roman" w:hAnsi="Times New Roman" w:cs="Times New Roman"/>
                            <w:sz w:val="24"/>
                            <w:szCs w:val="24"/>
                            <w:lang w:val="en-GB" w:eastAsia="it-IT"/>
                          </w:rPr>
                          <w:br/>
                        </w:r>
                        <w:r w:rsidRPr="00392980">
                          <w:rPr>
                            <w:rFonts w:ascii="Verdana" w:eastAsia="Times New Roman" w:hAnsi="Verdana" w:cs="Times New Roman"/>
                            <w:sz w:val="20"/>
                            <w:szCs w:val="20"/>
                            <w:lang w:val="en-GB" w:eastAsia="it-IT"/>
                          </w:rPr>
                          <w:t>(a) his or her surrender would be incompatible with the State's obligations under the Convention for the Protection of Human Rights and Fundamental Freedoms done at 20 Rome on the 4th day of November, 1950, as amended by Protocol No. 11 done at Strasbourg on the 11th day of May, 1994,</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216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(b) his or her surrender would constitute a contravention of any provision of the Constitution (other than for the reason 25 that the offence specified in the European arrest warrant is an offence to which section 30(1)(b) applies).”</w:t>
                        </w:r>
                      </w:p>
                      <w:p w:rsidR="00392980" w:rsidRPr="00392980" w:rsidRDefault="00392980" w:rsidP="00392980">
                        <w:pPr>
                          <w:spacing w:after="0"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31. The Act itself protects a person who is the subject of a warrant from being surrendered if their human rights are infringed. It must obviously also be the case that a person could not be extradited on foot of a European arrest warrant because the legislation providing for the implementation of the system was itself to be declared unconstitutional.</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32. It seems to me that there is a failure of constitutional logic in Mr. O’Connor’s case for invalidity. He is asserting a constitutional right to a scheme of legal aid for him and persons in his situation to be available as of right on a statutory basis. The only relevance of the 2003 Act is that it is the vehicle by which the EAW decision was implemented in the State. There is nothing in its provisions to which Mr. O’Connor actually objects. He is claiming a right that is separate and distinct from the provisions of the Act. The Act has nothing to say to his objection.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33. In my judgment, this claim cannot succeed as an independent case seeking to invalidate the Act for what it does not contain. It is impossible to know how much of the Act would be condemned or whether the entire legislation would fall, assuming Mr. O’Connor’s claim were to succeed.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34. The claim here may be contrasted with the issue that arose concerning s. 2 of the Criminal Justice (Legal Aid) Act 1962 in </w:t>
                        </w:r>
                        <w:r w:rsidRPr="00392980">
                          <w:rPr>
                            <w:rFonts w:ascii="Verdana" w:eastAsia="Times New Roman" w:hAnsi="Verdana" w:cs="Times New Roman"/>
                            <w:i/>
                            <w:iCs/>
                            <w:sz w:val="20"/>
                            <w:szCs w:val="20"/>
                            <w:lang w:val="en-GB" w:eastAsia="it-IT"/>
                          </w:rPr>
                          <w:t>Carmody v Minister for Justice</w:t>
                        </w:r>
                        <w:r w:rsidRPr="00392980">
                          <w:rPr>
                            <w:rFonts w:ascii="Verdana" w:eastAsia="Times New Roman" w:hAnsi="Verdana" w:cs="Times New Roman"/>
                            <w:sz w:val="20"/>
                            <w:szCs w:val="20"/>
                            <w:lang w:val="en-GB" w:eastAsia="it-IT"/>
                          </w:rPr>
                          <w:t xml:space="preserve"> </w:t>
                        </w:r>
                        <w:hyperlink r:id="rId20" w:tooltip="Link to BAILII version" w:history="1">
                          <w:r w:rsidRPr="00392980">
                            <w:rPr>
                              <w:rFonts w:ascii="Verdana" w:eastAsia="Times New Roman" w:hAnsi="Verdana" w:cs="Times New Roman"/>
                              <w:color w:val="0000FF"/>
                              <w:sz w:val="20"/>
                              <w:szCs w:val="20"/>
                              <w:u w:val="single"/>
                              <w:lang w:val="en-GB" w:eastAsia="it-IT"/>
                            </w:rPr>
                            <w:t>[2010] 1 ILRM 157</w:t>
                          </w:r>
                        </w:hyperlink>
                        <w:r w:rsidRPr="00392980">
                          <w:rPr>
                            <w:rFonts w:ascii="Verdana" w:eastAsia="Times New Roman" w:hAnsi="Verdana" w:cs="Times New Roman"/>
                            <w:sz w:val="20"/>
                            <w:szCs w:val="20"/>
                            <w:lang w:val="en-GB" w:eastAsia="it-IT"/>
                          </w:rPr>
                          <w:t xml:space="preserve">. The section empowered the District Court to certify for representation by a solicitor in the case of indigent persons charged with offences when justice so required. It permitted provision for Counsel only in murder cases, and so, by necessary implication, excluded any right to Counsel in other cases. The Supreme Court held that the absence of a right to apply for legal aid, including Counsel in appropriate cases, represented a failure by the State, but the limited provision in s. 2(1) did not mean it was repugnant to the Constitution. In the circumstances of the failure by the State as found, the Court </w:t>
                        </w:r>
                        <w:r w:rsidRPr="00392980">
                          <w:rPr>
                            <w:rFonts w:ascii="Verdana" w:eastAsia="Times New Roman" w:hAnsi="Verdana" w:cs="Times New Roman"/>
                            <w:sz w:val="20"/>
                            <w:szCs w:val="20"/>
                            <w:lang w:val="en-GB" w:eastAsia="it-IT"/>
                          </w:rPr>
                          <w:lastRenderedPageBreak/>
                          <w:t xml:space="preserve">granted a declaration that the plaintiff had a constitutional right to apply for appropriate legal aid prior to his trial.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35. It is not in issue in this case that legal assistance at public expense is available to Mr. O’Connor if he cannot afford to pay for it himself. Neither is there any question as to the quality of the representation that is available to a requested person under the Custody Issues Scheme.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36. It seems to me that even if this Court took the view that there was some substance in the issue raised by Mr O’Connor, it would still not be appropriate or procedurally legitimate In my view, there is no basis on to consider making a Carmody-type declaration. It is not sought in the statement of claim or in the submissions, and neither is it discussed in the judgment of the High Court, nor is it mentioned in the notices of appeal.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37. Could Mr. O’Connor have sued the State, claiming the right to a statutory scheme, but without seeking to invalidate the provisions of the 2003 Act? The Court does not have to express a view on this because it was not claimed or argued. The claim if made, might have been met by a defence that the State was satisfied to provide for appropriate legal aid as certified or recommended by a Court. It seems to me that the issue of standing would more directly and immediately and relevantly arise in that context. The present litigation consists of the process of the enforcement of the warrant in addition to Mr. O’Connor’s own claim. Whatever the merits of the case, it is impossible to propose that he lacks standing to contest the compliance of the Irish arrangements with the Framework Decision. In my view, his plenary action although misconceived for the reasons I have explained, is inextricably entwined with his resistance to the enforcement of the warrant. I prefer, therefore, not to rule on the question of standing as a separate issue in the appeal and to leave the question to another occasion.</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38. In conclusion, I adopt the summary of Edwards J. as follows:</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after="0"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“The Act of 2003 enjoys the presumption of constitutionality, and the respondent/plaintiff bears the burden of rebutting that which is presumed. In this Court’s view, there is simply no evidence before it that the Act of 2003 is constitutionally deficient in any respect, or that it permits of any unconstitutional discrimination; or for that matter that the Act of 2003 fails to respect EU law and in particular the principle of equivalence. Accordingly, the presumption of constitutionality has not been rebutted with respect to the Act of 2003, and the Court has no reason to believe that the Act of 2003 is constitutionally deficient in any respect, or that it breaches the principle of equality before law as guaranteed in Article 40.1 of the Constitution.”</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p>
                      <w:p w:rsidR="00392980" w:rsidRPr="00392980" w:rsidRDefault="00392980" w:rsidP="00392980">
                        <w:pPr>
                          <w:spacing w:after="0" w:line="240" w:lineRule="auto"/>
                          <w:ind w:left="1440"/>
                          <w:rPr>
                            <w:rFonts w:ascii="Times New Roman" w:eastAsia="Times New Roman" w:hAnsi="Times New Roman" w:cs="Times New Roman"/>
                            <w:sz w:val="24"/>
                            <w:szCs w:val="24"/>
                            <w:lang w:val="en-GB" w:eastAsia="it-IT"/>
                          </w:rPr>
                        </w:pPr>
                        <w:bookmarkStart w:id="2" w:name="judge2"/>
                        <w:r w:rsidRPr="00392980">
                          <w:rPr>
                            <w:rFonts w:ascii="Verdana" w:eastAsia="Times New Roman" w:hAnsi="Verdana" w:cs="Times New Roman"/>
                            <w:b/>
                            <w:bCs/>
                            <w:sz w:val="20"/>
                            <w:szCs w:val="20"/>
                            <w:lang w:val="en-GB" w:eastAsia="it-IT"/>
                          </w:rPr>
                          <w:t>JUDGMENT of Mr. Justice Gerard Hogan delivered on 23rd day of October 2015</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1. Where a Framework Decision confers the right to legal assistance in European Arrest Warrant (“EAW”) proceedings “in accordance with the national law of the executing Member State”, does this mean that the person whose surrender to another EU Member State is thereby sought is entitled to be provided where necessary with such legal assistance from public funds and, if so, whether such an obligation is discharged by means of the provision of such assistance through the mechanism of an </w:t>
                        </w:r>
                        <w:r w:rsidRPr="00392980">
                          <w:rPr>
                            <w:rFonts w:ascii="Verdana" w:eastAsia="Times New Roman" w:hAnsi="Verdana" w:cs="Times New Roman"/>
                            <w:sz w:val="20"/>
                            <w:szCs w:val="20"/>
                            <w:lang w:val="en-GB" w:eastAsia="it-IT"/>
                          </w:rPr>
                          <w:lastRenderedPageBreak/>
                          <w:t xml:space="preserve">administrative scheme? Independently of this, does the failure to place this scheme on a statutory basis amount to a breach of the equality provisions of Article 40.1 of the Constitution in circumstances where other accused persons enjoy such a statutory entitlement? These essentially are the issues which this Court is required to consider in the appeal from the decision of the High Court (Edwards J.) delivered on 4th December 2014: see </w:t>
                        </w:r>
                        <w:r w:rsidRPr="00392980">
                          <w:rPr>
                            <w:rFonts w:ascii="Verdana" w:eastAsia="Times New Roman" w:hAnsi="Verdana" w:cs="Times New Roman"/>
                            <w:i/>
                            <w:iCs/>
                            <w:sz w:val="20"/>
                            <w:szCs w:val="20"/>
                            <w:lang w:val="en-GB" w:eastAsia="it-IT"/>
                          </w:rPr>
                          <w:t>Minister for Justice and Equality v. O’Connor</w:t>
                        </w:r>
                        <w:r w:rsidRPr="00392980">
                          <w:rPr>
                            <w:rFonts w:ascii="Verdana" w:eastAsia="Times New Roman" w:hAnsi="Verdana" w:cs="Times New Roman"/>
                            <w:sz w:val="20"/>
                            <w:szCs w:val="20"/>
                            <w:lang w:val="en-GB" w:eastAsia="it-IT"/>
                          </w:rPr>
                          <w:t xml:space="preserve"> </w:t>
                        </w:r>
                        <w:bookmarkEnd w:id="2"/>
                        <w:r w:rsidRPr="00392980">
                          <w:rPr>
                            <w:rFonts w:ascii="Verdana" w:eastAsia="Times New Roman" w:hAnsi="Verdana" w:cs="Times New Roman"/>
                            <w:sz w:val="20"/>
                            <w:szCs w:val="20"/>
                            <w:lang w:eastAsia="it-IT"/>
                          </w:rPr>
                          <w:fldChar w:fldCharType="begin"/>
                        </w:r>
                        <w:r w:rsidRPr="00392980">
                          <w:rPr>
                            <w:rFonts w:ascii="Verdana" w:eastAsia="Times New Roman" w:hAnsi="Verdana" w:cs="Times New Roman"/>
                            <w:sz w:val="20"/>
                            <w:szCs w:val="20"/>
                            <w:lang w:val="en-GB" w:eastAsia="it-IT"/>
                          </w:rPr>
                          <w:instrText xml:space="preserve"> HYPERLINK "http://www.bailii.org/ie/cases/IEHC/2014/H640.html" \o "Link to BAILII version" </w:instrText>
                        </w:r>
                        <w:r w:rsidRPr="00392980">
                          <w:rPr>
                            <w:rFonts w:ascii="Verdana" w:eastAsia="Times New Roman" w:hAnsi="Verdana" w:cs="Times New Roman"/>
                            <w:sz w:val="20"/>
                            <w:szCs w:val="20"/>
                            <w:lang w:eastAsia="it-IT"/>
                          </w:rPr>
                          <w:fldChar w:fldCharType="separate"/>
                        </w:r>
                        <w:r w:rsidRPr="00392980">
                          <w:rPr>
                            <w:rFonts w:ascii="Verdana" w:eastAsia="Times New Roman" w:hAnsi="Verdana" w:cs="Times New Roman"/>
                            <w:color w:val="0000FF"/>
                            <w:sz w:val="20"/>
                            <w:szCs w:val="20"/>
                            <w:u w:val="single"/>
                            <w:lang w:val="en-GB" w:eastAsia="it-IT"/>
                          </w:rPr>
                          <w:t>[2014] IEHC 640</w:t>
                        </w:r>
                        <w:r w:rsidRPr="00392980">
                          <w:rPr>
                            <w:rFonts w:ascii="Verdana" w:eastAsia="Times New Roman" w:hAnsi="Verdana" w:cs="Times New Roman"/>
                            <w:sz w:val="20"/>
                            <w:szCs w:val="20"/>
                            <w:lang w:eastAsia="it-IT"/>
                          </w:rPr>
                          <w:fldChar w:fldCharType="end"/>
                        </w:r>
                        <w:r w:rsidRPr="00392980">
                          <w:rPr>
                            <w:rFonts w:ascii="Verdana" w:eastAsia="Times New Roman" w:hAnsi="Verdana" w:cs="Times New Roman"/>
                            <w:sz w:val="20"/>
                            <w:szCs w:val="20"/>
                            <w:lang w:val="en-GB" w:eastAsia="it-IT"/>
                          </w:rPr>
                          <w:t>.</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2. As it happens, the result in the case was announced on 2nd December 2014 and the judgment itself was made available to the parties on 4th December 2014 (albeit in draft form). In the interval between the 2nd December 2014 and 4th December 2014 the Court was asked to make a reference pursuant to Article 267 TFEU to the Court of Justice concerning the interpretation of the Framework Decision. Prior to 1st December 2014 no Irish court had jurisdiction to make such a reference. Article 10(3) of Protocol No. 36 to the Treaty of Lisbon provided for such a jurisdiction after a five year transitional period. The Lisbon Treaty entered into force on 1st December 2009 and the transitional period expired on 1st December 2014. In a separate judgment delivered on 12th January 2015 Edwards J. declined to make such a reference on the ground that he was now </w:t>
                        </w:r>
                        <w:r w:rsidRPr="00392980">
                          <w:rPr>
                            <w:rFonts w:ascii="Verdana" w:eastAsia="Times New Roman" w:hAnsi="Verdana" w:cs="Times New Roman"/>
                            <w:i/>
                            <w:iCs/>
                            <w:sz w:val="20"/>
                            <w:szCs w:val="20"/>
                            <w:lang w:val="en-GB" w:eastAsia="it-IT"/>
                          </w:rPr>
                          <w:t>functus officio</w:t>
                        </w:r>
                        <w:r w:rsidRPr="00392980">
                          <w:rPr>
                            <w:rFonts w:ascii="Verdana" w:eastAsia="Times New Roman" w:hAnsi="Verdana" w:cs="Times New Roman"/>
                            <w:sz w:val="20"/>
                            <w:szCs w:val="20"/>
                            <w:lang w:val="en-GB" w:eastAsia="it-IT"/>
                          </w:rPr>
                          <w:t xml:space="preserve"> and that he had no jurisdiction to make such a reference: </w:t>
                        </w:r>
                        <w:r w:rsidRPr="00392980">
                          <w:rPr>
                            <w:rFonts w:ascii="Verdana" w:eastAsia="Times New Roman" w:hAnsi="Verdana" w:cs="Times New Roman"/>
                            <w:i/>
                            <w:iCs/>
                            <w:sz w:val="20"/>
                            <w:szCs w:val="20"/>
                            <w:lang w:val="en-GB" w:eastAsia="it-IT"/>
                          </w:rPr>
                          <w:t>see Minister for Justice and Equality v. O’Connor (No.2)</w:t>
                        </w:r>
                        <w:r w:rsidRPr="00392980">
                          <w:rPr>
                            <w:rFonts w:ascii="Verdana" w:eastAsia="Times New Roman" w:hAnsi="Verdana" w:cs="Times New Roman"/>
                            <w:sz w:val="20"/>
                            <w:szCs w:val="20"/>
                            <w:lang w:val="en-GB" w:eastAsia="it-IT"/>
                          </w:rPr>
                          <w:t xml:space="preserve"> </w:t>
                        </w:r>
                        <w:hyperlink r:id="rId21" w:tooltip="Link to BAILII version" w:history="1">
                          <w:r w:rsidRPr="00392980">
                            <w:rPr>
                              <w:rFonts w:ascii="Verdana" w:eastAsia="Times New Roman" w:hAnsi="Verdana" w:cs="Times New Roman"/>
                              <w:color w:val="0000FF"/>
                              <w:sz w:val="20"/>
                              <w:szCs w:val="20"/>
                              <w:u w:val="single"/>
                              <w:lang w:val="en-GB" w:eastAsia="it-IT"/>
                            </w:rPr>
                            <w:t>[2015] IEHC 26</w:t>
                          </w:r>
                        </w:hyperlink>
                        <w:r w:rsidRPr="00392980">
                          <w:rPr>
                            <w:rFonts w:ascii="Verdana" w:eastAsia="Times New Roman" w:hAnsi="Verdana" w:cs="Times New Roman"/>
                            <w:sz w:val="20"/>
                            <w:szCs w:val="20"/>
                            <w:lang w:val="en-GB" w:eastAsia="it-IT"/>
                          </w:rPr>
                          <w:t>.</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3. Returning now to the main judgment, Edwards J. heard two separate sets of proceedings together and delivered one single judgment on the principal issues raised. The first set of proceedings arises out of the European Arrest Warrant Act 2003 (“the 2003 Act”). In those proceedings the respondent is the subject of a European arrest warrant issued by the United Kingdom of Great Britain and Northern Ireland on the 13th June, 2011. That warrant seeks the surrender of Mr. O’Connor so that he can serve the two concurrent sentences of four years and six months respectively for tax fraud which had been imposed by Blackfriars Crown Court on 29th January 2007 following his conviction on 26th October 2006. The warrant further seeks Mr. O’Connor’s surrender to face trial on the charge that he failed to hold honour his bail in the interval between his conviction and sentence, contrary to the provisions of the (UK) Bail Act 1976.</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4. In the second set of proceedings Mr. O’Connor is the plaintiff in which he challenged the constitutionality of the failure to make provision of a statutory based system of legal aid for requested persons under the 2003 Act, contending that this was contrary to Article 40.1 of the Constitution. The Minister, Ireland and the Attorney General were all named as defendants in these plenary proceedings (“the plenary proceedings”).</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5. The UK warrant was endorsed by the High Court for execution in this jurisdiction on the 22nd June, 2011, and it was duly executed on the 27th March, 2012. The respondent was brought before the High Court (Sheehan J.) pursuant to s.13 of the 2003 following his arrest. The respondent was advised of his rights in the course of the s.13 hearing, including his right to obtain or to be provided with professional legal advice and representation, and a notional date (the 16th April, 2012) was fixed for the purposes of s. 16 of the Act of 2003. The respondent was remanded on bail to the date fixed. The respondent was legally represented at the s. 13 hearing. No indication was given of an intention </w:t>
                        </w:r>
                        <w:r w:rsidRPr="00392980">
                          <w:rPr>
                            <w:rFonts w:ascii="Verdana" w:eastAsia="Times New Roman" w:hAnsi="Verdana" w:cs="Times New Roman"/>
                            <w:sz w:val="20"/>
                            <w:szCs w:val="20"/>
                            <w:lang w:val="en-GB" w:eastAsia="it-IT"/>
                          </w:rPr>
                          <w:lastRenderedPageBreak/>
                          <w:t>on the part of the respondent to apply for a recommendation under the Attorney General’s Scheme.</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6. Those proceeds were adjourned from time to time to enable points of objection to be filed by the respondent, Mr. O’Connor. In the end, only one objection was ultimately proceeded with, namely that pleaded in the following terms: </w:t>
                        </w:r>
                      </w:p>
                      <w:p w:rsidR="00392980" w:rsidRPr="00392980" w:rsidRDefault="00392980" w:rsidP="00392980">
                        <w:pPr>
                          <w:spacing w:after="0" w:line="240" w:lineRule="auto"/>
                          <w:ind w:left="288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“The grounds of objection to the application for Mr. O’Connor’s surrender to the U.K. are - </w:t>
                        </w:r>
                      </w:p>
                      <w:p w:rsidR="00392980" w:rsidRPr="00392980" w:rsidRDefault="00392980" w:rsidP="00392980">
                        <w:pPr>
                          <w:spacing w:after="0" w:line="240" w:lineRule="auto"/>
                          <w:ind w:left="3600"/>
                          <w:rPr>
                            <w:rFonts w:ascii="Times New Roman" w:eastAsia="Times New Roman" w:hAnsi="Times New Roman" w:cs="Times New Roman"/>
                            <w:sz w:val="24"/>
                            <w:szCs w:val="24"/>
                            <w:lang w:val="en-GB" w:eastAsia="it-IT"/>
                          </w:rPr>
                        </w:pPr>
                        <w:r w:rsidRPr="00392980">
                          <w:rPr>
                            <w:rFonts w:ascii="Times New Roman" w:eastAsia="Times New Roman" w:hAnsi="Times New Roman" w:cs="Times New Roman"/>
                            <w:sz w:val="24"/>
                            <w:szCs w:val="24"/>
                            <w:lang w:val="en-GB" w:eastAsia="it-IT"/>
                          </w:rPr>
                          <w:br/>
                        </w:r>
                        <w:r w:rsidRPr="00392980">
                          <w:rPr>
                            <w:rFonts w:ascii="Verdana" w:eastAsia="Times New Roman" w:hAnsi="Verdana" w:cs="Times New Roman"/>
                            <w:sz w:val="20"/>
                            <w:szCs w:val="20"/>
                            <w:lang w:val="en-GB" w:eastAsia="it-IT"/>
                          </w:rPr>
                          <w:t>1. Mr. O’Connor would qualify for statutory legal aid. But there is no statutory-based provision of legal aid, as required by Art. 11(2) of the Framework Decision (‘in accordance with national law’ contrast Art.5 (2) ‘under the law or practice’) as made part of national law by s.10 of the 2003 Act (‘subject to and in accordance with the Framework Decision’). On account of the nature of this objection, it should be heard and determined before any other objection is considered. Further, because the 2003 Act (as amended) makes no provision for legal aid, it is to that extent repugnant to the Constitution and, in particular, the State's obligations under E.U. law.”</w:t>
                        </w:r>
                      </w:p>
                      <w:p w:rsidR="00392980" w:rsidRPr="00392980" w:rsidRDefault="00392980" w:rsidP="00392980">
                        <w:pPr>
                          <w:spacing w:after="0"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7. As the respondent did not consent to his surrender to the United Kingdom, it fell to the High Court to consider whether the requirements of s.16 of the 2003 Act have been satisfied. Edwards J. observed that the Court’s jurisdiction to make an order directing that the respondent be surrendered was dependant upon a judicial finding that they had been so satisfied. He found, however, that all the relevant statutory prerequisites (such as, for example, the identity of the requested person, the minimum gravity threshold and the correspondence of the offence with an offence under Irish law) had all been satisfied. This left the sole question of whether this State had complied with the requirements of the Framework Decision by failing to provide for a right to legal aid for requested persons on a statutory basis.</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8. It is clear from the pleadings and the evidence - all of which is helpfully recounted in elaborate detail in the main judgment of Edwards J. - that the State has, in fact, established a system of legal aid for requested persons, save that this scheme is established on an administrative rather than a statutory basis. That scheme was previously known as the Attorney General’s Scheme, but in 2012 it was re-named the Legal Aid (Custody Issues) Scheme (“the Scheme”) and it took effect in that form from 1st January 2013.</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9. While it is accepted that the scheme is generally an ex gratia one in that the Attorney General does not feel bound to honour every recommendation made thereunder, the evidence which was given in the High Court in both the </w:t>
                        </w:r>
                        <w:r w:rsidRPr="00392980">
                          <w:rPr>
                            <w:rFonts w:ascii="Verdana" w:eastAsia="Times New Roman" w:hAnsi="Verdana" w:cs="Times New Roman"/>
                            <w:i/>
                            <w:iCs/>
                            <w:sz w:val="20"/>
                            <w:szCs w:val="20"/>
                            <w:lang w:val="en-GB" w:eastAsia="it-IT"/>
                          </w:rPr>
                          <w:t>Olsson</w:t>
                        </w:r>
                        <w:r w:rsidRPr="00392980">
                          <w:rPr>
                            <w:rFonts w:ascii="Verdana" w:eastAsia="Times New Roman" w:hAnsi="Verdana" w:cs="Times New Roman"/>
                            <w:sz w:val="20"/>
                            <w:szCs w:val="20"/>
                            <w:lang w:val="en-GB" w:eastAsia="it-IT"/>
                          </w:rPr>
                          <w:t xml:space="preserve"> case </w:t>
                        </w:r>
                        <w:r w:rsidRPr="00392980">
                          <w:rPr>
                            <w:rFonts w:ascii="Verdana" w:eastAsia="Times New Roman" w:hAnsi="Verdana" w:cs="Times New Roman"/>
                            <w:i/>
                            <w:iCs/>
                            <w:sz w:val="20"/>
                            <w:szCs w:val="20"/>
                            <w:lang w:val="en-GB" w:eastAsia="it-IT"/>
                          </w:rPr>
                          <w:t>(Minister for Justice, Equality and Law Reform v. Olsson</w:t>
                        </w:r>
                        <w:r w:rsidRPr="00392980">
                          <w:rPr>
                            <w:rFonts w:ascii="Verdana" w:eastAsia="Times New Roman" w:hAnsi="Verdana" w:cs="Times New Roman"/>
                            <w:sz w:val="20"/>
                            <w:szCs w:val="20"/>
                            <w:lang w:val="en-GB" w:eastAsia="it-IT"/>
                          </w:rPr>
                          <w:t xml:space="preserve"> </w:t>
                        </w:r>
                        <w:hyperlink r:id="rId22" w:tooltip="Link to BAILII version" w:history="1">
                          <w:r w:rsidRPr="00392980">
                            <w:rPr>
                              <w:rFonts w:ascii="Verdana" w:eastAsia="Times New Roman" w:hAnsi="Verdana" w:cs="Times New Roman"/>
                              <w:color w:val="0000FF"/>
                              <w:sz w:val="20"/>
                              <w:szCs w:val="20"/>
                              <w:u w:val="single"/>
                              <w:lang w:val="en-GB" w:eastAsia="it-IT"/>
                            </w:rPr>
                            <w:t>[2011] IESC 1</w:t>
                          </w:r>
                        </w:hyperlink>
                        <w:r w:rsidRPr="00392980">
                          <w:rPr>
                            <w:rFonts w:ascii="Verdana" w:eastAsia="Times New Roman" w:hAnsi="Verdana" w:cs="Times New Roman"/>
                            <w:sz w:val="20"/>
                            <w:szCs w:val="20"/>
                            <w:lang w:val="en-GB" w:eastAsia="it-IT"/>
                          </w:rPr>
                          <w:t xml:space="preserve">, </w:t>
                        </w:r>
                        <w:hyperlink r:id="rId23" w:tooltip="Link to BAILII version" w:history="1">
                          <w:r w:rsidRPr="00392980">
                            <w:rPr>
                              <w:rFonts w:ascii="Verdana" w:eastAsia="Times New Roman" w:hAnsi="Verdana" w:cs="Times New Roman"/>
                              <w:color w:val="0000FF"/>
                              <w:sz w:val="20"/>
                              <w:szCs w:val="20"/>
                              <w:u w:val="single"/>
                              <w:lang w:val="en-GB" w:eastAsia="it-IT"/>
                            </w:rPr>
                            <w:t>[2011] 1 I.R. 384</w:t>
                          </w:r>
                        </w:hyperlink>
                        <w:r w:rsidRPr="00392980">
                          <w:rPr>
                            <w:rFonts w:ascii="Verdana" w:eastAsia="Times New Roman" w:hAnsi="Verdana" w:cs="Times New Roman"/>
                            <w:sz w:val="20"/>
                            <w:szCs w:val="20"/>
                            <w:lang w:val="en-GB" w:eastAsia="it-IT"/>
                          </w:rPr>
                          <w:t>) and in this case confirmed that a special rule applies in the case of recommendations made by the court in cases arising under the 2003 Act so that these recommendations are, in fact, regarded as binding.</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10. In the present case, the Minister responded to a request for particulars concerning the operation of the Scheme by referring to the </w:t>
                        </w:r>
                        <w:r w:rsidRPr="00392980">
                          <w:rPr>
                            <w:rFonts w:ascii="Verdana" w:eastAsia="Times New Roman" w:hAnsi="Verdana" w:cs="Times New Roman"/>
                            <w:sz w:val="20"/>
                            <w:szCs w:val="20"/>
                            <w:lang w:val="en-GB" w:eastAsia="it-IT"/>
                          </w:rPr>
                          <w:lastRenderedPageBreak/>
                          <w:t xml:space="preserve">evidence which had been given in </w:t>
                        </w:r>
                        <w:r w:rsidRPr="00392980">
                          <w:rPr>
                            <w:rFonts w:ascii="Verdana" w:eastAsia="Times New Roman" w:hAnsi="Verdana" w:cs="Times New Roman"/>
                            <w:i/>
                            <w:iCs/>
                            <w:sz w:val="20"/>
                            <w:szCs w:val="20"/>
                            <w:lang w:val="en-GB" w:eastAsia="it-IT"/>
                          </w:rPr>
                          <w:t>Olsson</w:t>
                        </w:r>
                        <w:r w:rsidRPr="00392980">
                          <w:rPr>
                            <w:rFonts w:ascii="Verdana" w:eastAsia="Times New Roman" w:hAnsi="Verdana" w:cs="Times New Roman"/>
                            <w:sz w:val="20"/>
                            <w:szCs w:val="20"/>
                            <w:lang w:val="en-GB" w:eastAsia="it-IT"/>
                          </w:rPr>
                          <w:t xml:space="preserve"> by a Mr. Jevon Alcock, then a solicitor in the Chief State Solicitor’s Office, which was to the effect that all recommendations for legal aid made in EAW cases arising under the Scheme were automatically honoured.</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11. Similar evidence was given in the present case by Mr. Patrick Gilheaney, an assistant director of the Legal Aid Board. His principal task was to administer the Scheme. He confirmed that despite the re-naming of the Scheme in 2012, the essentials of the Scheme remained the same. He confirmed that the Scheme applied to all persons arrested under the 2003 Act, but that the question of whether the Scheme should in fact apply in any given case was dependent on an application by the requested person and the making of a judicial recommendation.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12. Mr. Gilheaney agreed that the Scheme was an </w:t>
                        </w:r>
                        <w:r w:rsidRPr="00392980">
                          <w:rPr>
                            <w:rFonts w:ascii="Verdana" w:eastAsia="Times New Roman" w:hAnsi="Verdana" w:cs="Times New Roman"/>
                            <w:i/>
                            <w:iCs/>
                            <w:sz w:val="20"/>
                            <w:szCs w:val="20"/>
                            <w:lang w:val="en-GB" w:eastAsia="it-IT"/>
                          </w:rPr>
                          <w:t>ad hoc</w:t>
                        </w:r>
                        <w:r w:rsidRPr="00392980">
                          <w:rPr>
                            <w:rFonts w:ascii="Verdana" w:eastAsia="Times New Roman" w:hAnsi="Verdana" w:cs="Times New Roman"/>
                            <w:sz w:val="20"/>
                            <w:szCs w:val="20"/>
                            <w:lang w:val="en-GB" w:eastAsia="it-IT"/>
                          </w:rPr>
                          <w:t xml:space="preserve"> administrative scheme which had not been placed on a statutory footing. He confirmed the evidence which had been given in </w:t>
                        </w:r>
                        <w:r w:rsidRPr="00392980">
                          <w:rPr>
                            <w:rFonts w:ascii="Verdana" w:eastAsia="Times New Roman" w:hAnsi="Verdana" w:cs="Times New Roman"/>
                            <w:i/>
                            <w:iCs/>
                            <w:sz w:val="20"/>
                            <w:szCs w:val="20"/>
                            <w:lang w:val="en-GB" w:eastAsia="it-IT"/>
                          </w:rPr>
                          <w:t>Olsson</w:t>
                        </w:r>
                        <w:r w:rsidRPr="00392980">
                          <w:rPr>
                            <w:rFonts w:ascii="Verdana" w:eastAsia="Times New Roman" w:hAnsi="Verdana" w:cs="Times New Roman"/>
                            <w:sz w:val="20"/>
                            <w:szCs w:val="20"/>
                            <w:lang w:val="en-GB" w:eastAsia="it-IT"/>
                          </w:rPr>
                          <w:t xml:space="preserve"> to the effect that payment thereunder was not regarded as discretionary in cases of recommendations made in respect of 2003 Act cases. He said that perhaps some 400 payments per annum were processed regularly under the Scheme following a judicial recommendation. Mr. Gilheaney further observed in response to a question posed by Edwards J. that the Scheme contained no formal financial eligibility thresholds, but that “the decision was made that it would rest with the Court in its wisdom to decide upon a person’s financial eligibility or otherwise.” Mr. Gilheaney agreed that in practice this amounted to an assessment by the Court as to whether the requested person’s financial means were sufficient “for a person to retain legal counsel.”</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13. Mr. Gilheaney also pointed to the extensive publicity which had been given to the existence of the new Scheme and the steps which were taken to draw the attention of legal professionals to its existence.</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b/>
                            <w:bCs/>
                            <w:sz w:val="20"/>
                            <w:szCs w:val="20"/>
                            <w:lang w:val="en-GB" w:eastAsia="it-IT"/>
                          </w:rPr>
                          <w:t>The High Court judgment</w:t>
                        </w:r>
                        <w:r w:rsidRPr="00392980">
                          <w:rPr>
                            <w:rFonts w:ascii="Times New Roman" w:eastAsia="Times New Roman" w:hAnsi="Times New Roman" w:cs="Times New Roman"/>
                            <w:sz w:val="24"/>
                            <w:szCs w:val="24"/>
                            <w:lang w:val="en-GB" w:eastAsia="it-IT"/>
                          </w:rPr>
                          <w:br/>
                        </w:r>
                        <w:r w:rsidRPr="00392980">
                          <w:rPr>
                            <w:rFonts w:ascii="Verdana" w:eastAsia="Times New Roman" w:hAnsi="Verdana" w:cs="Times New Roman"/>
                            <w:sz w:val="20"/>
                            <w:szCs w:val="20"/>
                            <w:lang w:val="en-GB" w:eastAsia="it-IT"/>
                          </w:rPr>
                          <w:t xml:space="preserve">14. In a very comprehensive judgment Edwards J. held that so far as the 2003 Act proceedings were concerned he should follow the decision of the Supreme Court in </w:t>
                        </w:r>
                        <w:r w:rsidRPr="00392980">
                          <w:rPr>
                            <w:rFonts w:ascii="Verdana" w:eastAsia="Times New Roman" w:hAnsi="Verdana" w:cs="Times New Roman"/>
                            <w:i/>
                            <w:iCs/>
                            <w:sz w:val="20"/>
                            <w:szCs w:val="20"/>
                            <w:lang w:val="en-GB" w:eastAsia="it-IT"/>
                          </w:rPr>
                          <w:t xml:space="preserve">Olsson </w:t>
                        </w:r>
                        <w:r w:rsidRPr="00392980">
                          <w:rPr>
                            <w:rFonts w:ascii="Verdana" w:eastAsia="Times New Roman" w:hAnsi="Verdana" w:cs="Times New Roman"/>
                            <w:sz w:val="20"/>
                            <w:szCs w:val="20"/>
                            <w:lang w:val="en-GB" w:eastAsia="it-IT"/>
                          </w:rPr>
                          <w:t xml:space="preserve">regarding the interpretation of Article 11(2) of the Framework Decision, irrespective of whether of the comments of O’Donnell J. in that case should strictly be regarded as part of the </w:t>
                        </w:r>
                        <w:r w:rsidRPr="00392980">
                          <w:rPr>
                            <w:rFonts w:ascii="Verdana" w:eastAsia="Times New Roman" w:hAnsi="Verdana" w:cs="Times New Roman"/>
                            <w:i/>
                            <w:iCs/>
                            <w:sz w:val="20"/>
                            <w:szCs w:val="20"/>
                            <w:lang w:val="en-GB" w:eastAsia="it-IT"/>
                          </w:rPr>
                          <w:t>ratio decidendi</w:t>
                        </w:r>
                        <w:r w:rsidRPr="00392980">
                          <w:rPr>
                            <w:rFonts w:ascii="Verdana" w:eastAsia="Times New Roman" w:hAnsi="Verdana" w:cs="Times New Roman"/>
                            <w:sz w:val="20"/>
                            <w:szCs w:val="20"/>
                            <w:lang w:val="en-GB" w:eastAsia="it-IT"/>
                          </w:rPr>
                          <w:t xml:space="preserve"> or were simply in the nature of </w:t>
                        </w:r>
                        <w:r w:rsidRPr="00392980">
                          <w:rPr>
                            <w:rFonts w:ascii="Verdana" w:eastAsia="Times New Roman" w:hAnsi="Verdana" w:cs="Times New Roman"/>
                            <w:i/>
                            <w:iCs/>
                            <w:sz w:val="20"/>
                            <w:szCs w:val="20"/>
                            <w:lang w:val="en-GB" w:eastAsia="it-IT"/>
                          </w:rPr>
                          <w:t>obiter dicta</w:t>
                        </w:r>
                        <w:r w:rsidRPr="00392980">
                          <w:rPr>
                            <w:rFonts w:ascii="Verdana" w:eastAsia="Times New Roman" w:hAnsi="Verdana" w:cs="Times New Roman"/>
                            <w:sz w:val="20"/>
                            <w:szCs w:val="20"/>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15. So far as the discrimination argument based on Article 40.1 in the plenary proceedings was concerned, Edwards J. stated:</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after="0" w:line="240" w:lineRule="auto"/>
                          <w:ind w:left="288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“That approach provides the answer to the respondent / plaintiff’s suggestion that under the Act of 2003 there is an unconstitutional, alternatively illegal, discrimination and disparity in terms of the legal assistance available to a person in the respondent’s position compared with that provided to certain persons requiring such assistance in other contexts. It was contended that because there is statutory legal aid in domestic criminal cases, and for certain civil cases, and for cases based on a warrant from the International Criminal Court, and for certain Coroner’s Court matters, and for persons who might be made the subject of an [anti-social behaviour order], there is a disparity in how persons in the same or similar class are </w:t>
                        </w:r>
                        <w:r w:rsidRPr="00392980">
                          <w:rPr>
                            <w:rFonts w:ascii="Verdana" w:eastAsia="Times New Roman" w:hAnsi="Verdana" w:cs="Times New Roman"/>
                            <w:sz w:val="20"/>
                            <w:szCs w:val="20"/>
                            <w:lang w:val="en-GB" w:eastAsia="it-IT"/>
                          </w:rPr>
                          <w:lastRenderedPageBreak/>
                          <w:t>treated, and that this constitutes discrimination There might well be a disparity in terms of the mechanism employed to legally assist persons in the categories identified, compared with the mechanism employed to legally assist persons who are wanted on foot of a European arrest warrant, but there is equivalence with respect to the fundamental principle that requires to be respected, namely that all such persons are provided with effective access to justice.”</w:t>
                        </w:r>
                      </w:p>
                      <w:p w:rsidR="00392980" w:rsidRPr="00392980" w:rsidRDefault="00392980" w:rsidP="00392980">
                        <w:pPr>
                          <w:spacing w:after="0"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16. It will be seen that this conclusion proceeds in part on the basis that Edwards J. concluded that Article 11(2) of the Framework Decision conferred no right to legal aid and was simply concerned with the right to legal representation.</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b/>
                            <w:bCs/>
                            <w:sz w:val="20"/>
                            <w:szCs w:val="20"/>
                            <w:lang w:val="en-GB" w:eastAsia="it-IT"/>
                          </w:rPr>
                          <w:t>Article 11 of the Framework Decision</w:t>
                        </w:r>
                        <w:r w:rsidRPr="00392980">
                          <w:rPr>
                            <w:rFonts w:ascii="Times New Roman" w:eastAsia="Times New Roman" w:hAnsi="Times New Roman" w:cs="Times New Roman"/>
                            <w:sz w:val="24"/>
                            <w:szCs w:val="24"/>
                            <w:lang w:val="en-GB" w:eastAsia="it-IT"/>
                          </w:rPr>
                          <w:br/>
                        </w:r>
                        <w:r w:rsidRPr="00392980">
                          <w:rPr>
                            <w:rFonts w:ascii="Verdana" w:eastAsia="Times New Roman" w:hAnsi="Verdana" w:cs="Times New Roman"/>
                            <w:sz w:val="20"/>
                            <w:szCs w:val="20"/>
                            <w:lang w:val="en-GB" w:eastAsia="it-IT"/>
                          </w:rPr>
                          <w:t>17. Article 11 of the Council Framework Decision of 13 June 2002 (2002/584/JHA) provides as follows:</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after="0" w:line="240" w:lineRule="auto"/>
                          <w:ind w:left="360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"1. When a requested person is arrested, the executing competent judicial authority shall, in accordance with national law, inform that person of the European arrest warrant and of its contents, and also of the possibility of consenting to surrender to the issuing judicial authority.</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360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2. A requested person who is arrested for the purpose of execution of a European arrest warrant shall have the right to be assisted by a legal counsel and by an interpreter in accordance with the national law of the executing Member State.”</w:t>
                        </w:r>
                      </w:p>
                      <w:p w:rsidR="00392980" w:rsidRPr="00392980" w:rsidRDefault="00392980" w:rsidP="00392980">
                        <w:pPr>
                          <w:spacing w:after="0"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18. As has already been indicated, two issues now fall immediately for consideration in respect of the Article 11(2) issue. First, does Article 11(2) confer a right to legal aid in cases involving requested persons? Second, if there is such a right, is it satisfied by a non-statutory scheme? It may be convenient if these questions were to be considered in reverse order.</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b/>
                            <w:bCs/>
                            <w:sz w:val="20"/>
                            <w:szCs w:val="20"/>
                            <w:lang w:val="en-GB" w:eastAsia="it-IT"/>
                          </w:rPr>
                          <w:t>Has the right to assistance been provided “in accordance with the national law of the executing Member State?”</w:t>
                        </w:r>
                        <w:r w:rsidRPr="00392980">
                          <w:rPr>
                            <w:rFonts w:ascii="Times New Roman" w:eastAsia="Times New Roman" w:hAnsi="Times New Roman" w:cs="Times New Roman"/>
                            <w:sz w:val="24"/>
                            <w:szCs w:val="24"/>
                            <w:lang w:val="en-GB" w:eastAsia="it-IT"/>
                          </w:rPr>
                          <w:br/>
                        </w:r>
                        <w:r w:rsidRPr="00392980">
                          <w:rPr>
                            <w:rFonts w:ascii="Verdana" w:eastAsia="Times New Roman" w:hAnsi="Verdana" w:cs="Times New Roman"/>
                            <w:sz w:val="20"/>
                            <w:szCs w:val="20"/>
                            <w:lang w:val="en-GB" w:eastAsia="it-IT"/>
                          </w:rPr>
                          <w:t>19. It is clear from the language of Article 11(2) the right to legal assistance must be in accordance with “the national law of the executing Member State.” This pre-supposes that the rights and entitlement of the requested person to assistance must not only be determined in a manner which is legally binding and contains clear rules, but the entitlement must be governed by law. So far as the present appeal is concerned, the only right (or, more accurately, claimed right) which is at stake is the right to legal assistance.</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20. If there is such a right, then it is clear that this Member State does not provide for that right in accordance with its national law. With the exception of a common law right (which does not arise in the present case), a requirement that a right is to be provided in accordance with national law must refer to a right prescribed by an Act of the Oireachtas.</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21. It is not, of course, disputed but that the Scheme is extra-statutory in nature. It is plain, moreover, that the commitment given on behalf of the Minister under the Scheme that </w:t>
                        </w:r>
                        <w:r w:rsidRPr="00392980">
                          <w:rPr>
                            <w:rFonts w:ascii="Verdana" w:eastAsia="Times New Roman" w:hAnsi="Verdana" w:cs="Times New Roman"/>
                            <w:i/>
                            <w:iCs/>
                            <w:sz w:val="20"/>
                            <w:szCs w:val="20"/>
                            <w:lang w:val="en-GB" w:eastAsia="it-IT"/>
                          </w:rPr>
                          <w:t>every</w:t>
                        </w:r>
                        <w:r w:rsidRPr="00392980">
                          <w:rPr>
                            <w:rFonts w:ascii="Verdana" w:eastAsia="Times New Roman" w:hAnsi="Verdana" w:cs="Times New Roman"/>
                            <w:sz w:val="20"/>
                            <w:szCs w:val="20"/>
                            <w:lang w:val="en-GB" w:eastAsia="it-IT"/>
                          </w:rPr>
                          <w:t xml:space="preserve"> judicial recommendation for assistance arising under the 2003 Act will be faithfully honoured without </w:t>
                        </w:r>
                        <w:r w:rsidRPr="00392980">
                          <w:rPr>
                            <w:rFonts w:ascii="Verdana" w:eastAsia="Times New Roman" w:hAnsi="Verdana" w:cs="Times New Roman"/>
                            <w:sz w:val="20"/>
                            <w:szCs w:val="20"/>
                            <w:lang w:val="en-GB" w:eastAsia="it-IT"/>
                          </w:rPr>
                          <w:lastRenderedPageBreak/>
                          <w:t xml:space="preserve">qualification could, in principle, be enforced by virtue of the doctrine of legitimate expectations.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22. This still does not mean, however, that the Scheme was being provided in accordance with national law. The Scheme could be still by “its nature” be changed “at the whim of the authorities”: see Case 145/82 </w:t>
                        </w:r>
                        <w:r w:rsidRPr="00392980">
                          <w:rPr>
                            <w:rFonts w:ascii="Verdana" w:eastAsia="Times New Roman" w:hAnsi="Verdana" w:cs="Times New Roman"/>
                            <w:i/>
                            <w:iCs/>
                            <w:sz w:val="20"/>
                            <w:szCs w:val="20"/>
                            <w:lang w:val="en-GB" w:eastAsia="it-IT"/>
                          </w:rPr>
                          <w:t xml:space="preserve">Commission of the European Communities v. Italian Republic </w:t>
                        </w:r>
                        <w:r w:rsidRPr="00392980">
                          <w:rPr>
                            <w:rFonts w:ascii="Verdana" w:eastAsia="Times New Roman" w:hAnsi="Verdana" w:cs="Times New Roman"/>
                            <w:sz w:val="20"/>
                            <w:szCs w:val="20"/>
                            <w:lang w:val="en-GB" w:eastAsia="it-IT"/>
                          </w:rPr>
                          <w:t xml:space="preserve">[1983] E.C.R. 711, para. 10. It is for this reason that the Court of Justice has consistently held that administrative practices of this kind were insufficient to give legal effect to a Directive and to satisfy the requirements of Article 249 TFEU. As Costello J. remarked in the (admittedly different) context of administrative circulars regulating the education sector in </w:t>
                        </w:r>
                        <w:r w:rsidRPr="00392980">
                          <w:rPr>
                            <w:rFonts w:ascii="Verdana" w:eastAsia="Times New Roman" w:hAnsi="Verdana" w:cs="Times New Roman"/>
                            <w:i/>
                            <w:iCs/>
                            <w:sz w:val="20"/>
                            <w:szCs w:val="20"/>
                            <w:lang w:val="en-GB" w:eastAsia="it-IT"/>
                          </w:rPr>
                          <w:t>O’Callaghan v. Meath Vocational Education Committee</w:t>
                        </w:r>
                        <w:r w:rsidRPr="00392980">
                          <w:rPr>
                            <w:rFonts w:ascii="Verdana" w:eastAsia="Times New Roman" w:hAnsi="Verdana" w:cs="Times New Roman"/>
                            <w:sz w:val="20"/>
                            <w:szCs w:val="20"/>
                            <w:lang w:val="en-GB" w:eastAsia="it-IT"/>
                          </w:rPr>
                          <w:t>, High Court, November 20, 1990:</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after="0" w:line="240" w:lineRule="auto"/>
                          <w:ind w:left="288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“These [administrative] measures are not, of course, illegal. But they have no statutory force and the sanction which ensures compliance with them is not a legal one but the undeclared understanding that the Department will withhold financial assistance in the event of non-compliance.”</w:t>
                        </w:r>
                      </w:p>
                      <w:p w:rsidR="00392980" w:rsidRPr="00392980" w:rsidRDefault="00392980" w:rsidP="00392980">
                        <w:pPr>
                          <w:spacing w:after="0"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23. Contrary to the views which Edwards J. expressed on this point, for my part I do think it is significant that Article 5(2) of the Framework Decision does refer to “law or practice of the issuing Member State.” While I fully agree with Edwards J. that the context of this reference is entirely different from that of Article 11(2) - since it refers to the guarantees which an executing Member State may require of an issuing Member State in cases where the surrendered person is required to serve the balance of a life sentence - what is significant is that the Union legislator has used the term “law or practice of the issuing Member State” elsewhere in the Framework Decision. In other words, if the rights guaranteed by Article 11(2) could properly have been vouchsafed by national </w:t>
                        </w:r>
                        <w:r w:rsidRPr="00392980">
                          <w:rPr>
                            <w:rFonts w:ascii="Verdana" w:eastAsia="Times New Roman" w:hAnsi="Verdana" w:cs="Times New Roman"/>
                            <w:i/>
                            <w:iCs/>
                            <w:sz w:val="20"/>
                            <w:szCs w:val="20"/>
                            <w:lang w:val="en-GB" w:eastAsia="it-IT"/>
                          </w:rPr>
                          <w:t>practice</w:t>
                        </w:r>
                        <w:r w:rsidRPr="00392980">
                          <w:rPr>
                            <w:rFonts w:ascii="Verdana" w:eastAsia="Times New Roman" w:hAnsi="Verdana" w:cs="Times New Roman"/>
                            <w:sz w:val="20"/>
                            <w:szCs w:val="20"/>
                            <w:lang w:val="en-GB" w:eastAsia="it-IT"/>
                          </w:rPr>
                          <w:t xml:space="preserve"> - as distinct from national law - the Framework Decision could readily have said so.</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24. Judged from the perspective of national constitutional law, it is all too plain that the only method whereby the Scheme could be established in accordance with law in this State is where the Oireachtas enacted legislation for this purpose in accordance with Article 15.2.1 and Article 20 of the Constitution. It is true that Dáil Éireann has voted supply by means of a financial resolution and this appropriation doubtless appears as a line item in the annual Appropriation Acts. But the Scheme nonetheless lacks the quality of publicly accessible and generally applicable legal principles, standards and rules which are the hallmark of a public general Act enacted by the Oireachtas.</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25. The fact that Article 20 of the Constitution proscribes the method whereby legislation is to be enacted - or, for that matter, amended - is not something which can be blithely ignored. The deliberative process involved in the entire parliamentary system was plainly regarded by the drafters of the Constitution as an essential pre-requisite in a democracy to the legitimacy of legislation.</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26. The extra-statutory nature of the Scheme is not, of course, illegal and nor does it render it in any way unlawful as a matter of domestic constitutional law. It is nonetheless not one provided “in accordance with </w:t>
                        </w:r>
                        <w:r w:rsidRPr="00392980">
                          <w:rPr>
                            <w:rFonts w:ascii="Verdana" w:eastAsia="Times New Roman" w:hAnsi="Verdana" w:cs="Times New Roman"/>
                            <w:sz w:val="20"/>
                            <w:szCs w:val="20"/>
                            <w:lang w:val="en-GB" w:eastAsia="it-IT"/>
                          </w:rPr>
                          <w:lastRenderedPageBreak/>
                          <w:t xml:space="preserve">national law” in the sense in which that term is used in Article 11(2) of the Framework Decision.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b/>
                            <w:bCs/>
                            <w:sz w:val="20"/>
                            <w:szCs w:val="20"/>
                            <w:lang w:val="en-GB" w:eastAsia="it-IT"/>
                          </w:rPr>
                          <w:t>Does Article 11(2) of the Framework Decision confer a right to publicly funded legal assistance?</w:t>
                        </w:r>
                        <w:r w:rsidRPr="00392980">
                          <w:rPr>
                            <w:rFonts w:ascii="Times New Roman" w:eastAsia="Times New Roman" w:hAnsi="Times New Roman" w:cs="Times New Roman"/>
                            <w:sz w:val="24"/>
                            <w:szCs w:val="24"/>
                            <w:lang w:val="en-GB" w:eastAsia="it-IT"/>
                          </w:rPr>
                          <w:br/>
                        </w:r>
                        <w:r w:rsidRPr="00392980">
                          <w:rPr>
                            <w:rFonts w:ascii="Verdana" w:eastAsia="Times New Roman" w:hAnsi="Verdana" w:cs="Times New Roman"/>
                            <w:sz w:val="20"/>
                            <w:szCs w:val="20"/>
                            <w:lang w:val="en-GB" w:eastAsia="it-IT"/>
                          </w:rPr>
                          <w:t xml:space="preserve">27. We may now turn to the first question: does Article 11(2) of the Framework Decision confer a right to publicly funded legal assistance? This is a matter which was at heart of the Supreme Court’s decision in </w:t>
                        </w:r>
                        <w:r w:rsidRPr="00392980">
                          <w:rPr>
                            <w:rFonts w:ascii="Verdana" w:eastAsia="Times New Roman" w:hAnsi="Verdana" w:cs="Times New Roman"/>
                            <w:i/>
                            <w:iCs/>
                            <w:sz w:val="20"/>
                            <w:szCs w:val="20"/>
                            <w:lang w:val="en-GB" w:eastAsia="it-IT"/>
                          </w:rPr>
                          <w:t>Olsson</w:t>
                        </w:r>
                        <w:r w:rsidRPr="00392980">
                          <w:rPr>
                            <w:rFonts w:ascii="Verdana" w:eastAsia="Times New Roman" w:hAnsi="Verdana" w:cs="Times New Roman"/>
                            <w:sz w:val="20"/>
                            <w:szCs w:val="20"/>
                            <w:lang w:val="en-GB" w:eastAsia="it-IT"/>
                          </w:rPr>
                          <w:t>. In that case the requested person had been legally represented at all stages of the European Arrest Warrant procedure, but neither solicitor or counsel had sought a recommendation under the Attorney General’s Scheme. It was contended instead that the Scheme itself did not comply with the requirements of the Framework Decision. As O’Donnell J. put it (</w:t>
                        </w:r>
                        <w:hyperlink r:id="rId24" w:tooltip="Link to BAILII version" w:history="1">
                          <w:r w:rsidRPr="00392980">
                            <w:rPr>
                              <w:rFonts w:ascii="Verdana" w:eastAsia="Times New Roman" w:hAnsi="Verdana" w:cs="Times New Roman"/>
                              <w:color w:val="0000FF"/>
                              <w:sz w:val="20"/>
                              <w:szCs w:val="20"/>
                              <w:u w:val="single"/>
                              <w:lang w:val="en-GB" w:eastAsia="it-IT"/>
                            </w:rPr>
                            <w:t>[2011] 1 I.R. 384</w:t>
                          </w:r>
                        </w:hyperlink>
                        <w:r w:rsidRPr="00392980">
                          <w:rPr>
                            <w:rFonts w:ascii="Verdana" w:eastAsia="Times New Roman" w:hAnsi="Verdana" w:cs="Times New Roman"/>
                            <w:sz w:val="20"/>
                            <w:szCs w:val="20"/>
                            <w:lang w:val="en-GB" w:eastAsia="it-IT"/>
                          </w:rPr>
                          <w:t>, 389-390):</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after="0" w:line="240" w:lineRule="auto"/>
                          <w:ind w:left="288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“Accordingly the point argued in this appeal is limited to the contention that the provision of legal assistance under the terms of the Scheme falls short of what is required by law for a person whose return is requested pursuant to a European arrest warrant. </w:t>
                        </w:r>
                      </w:p>
                      <w:p w:rsidR="00392980" w:rsidRPr="00392980" w:rsidRDefault="00392980" w:rsidP="00392980">
                        <w:pPr>
                          <w:spacing w:before="100" w:beforeAutospacing="1" w:after="100" w:afterAutospacing="1" w:line="240" w:lineRule="auto"/>
                          <w:ind w:left="288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The respondent’s case in this appeal depends on an interpretation of the Framework Decision and Act of 2003, as amended. Article 11(2) of the Framework Decision provides that a requested person has a “right to be assisted by a legal counsel … in accordance with the national law of the executing Member State”….The Framework Decision therefore imposes no obligation on the requested state to provide legal aid, whether as of right, or otherwise. It merely provides for a right of representation; and then only in accordance with the national law of the executing Member State.”</w:t>
                        </w:r>
                      </w:p>
                      <w:p w:rsidR="00392980" w:rsidRPr="00392980" w:rsidRDefault="00392980" w:rsidP="00392980">
                        <w:pPr>
                          <w:spacing w:after="0"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28. At the hearing of the appeal in the present case, counsel for the appellant, Dr. Forde S.C., sought to argue that this passage from the judgment was merely </w:t>
                        </w:r>
                        <w:r w:rsidRPr="00392980">
                          <w:rPr>
                            <w:rFonts w:ascii="Verdana" w:eastAsia="Times New Roman" w:hAnsi="Verdana" w:cs="Times New Roman"/>
                            <w:i/>
                            <w:iCs/>
                            <w:sz w:val="20"/>
                            <w:szCs w:val="20"/>
                            <w:lang w:val="en-GB" w:eastAsia="it-IT"/>
                          </w:rPr>
                          <w:t>obiter</w:t>
                        </w:r>
                        <w:r w:rsidRPr="00392980">
                          <w:rPr>
                            <w:rFonts w:ascii="Verdana" w:eastAsia="Times New Roman" w:hAnsi="Verdana" w:cs="Times New Roman"/>
                            <w:sz w:val="20"/>
                            <w:szCs w:val="20"/>
                            <w:lang w:val="en-GB" w:eastAsia="it-IT"/>
                          </w:rPr>
                          <w:t xml:space="preserve"> and that this Court were not bound by these observations. He contended that, shorn of the constraints of precedent, we should look afresh again at the interpretation of Article 11(2) of the Framework Decision. Why, he argued, would the Union legislator express the right in these terms if it was not intended to provide for legal assistance in respect of those cases - quite possibly a majority of cases - where the requested person could not otherwise afford legal representation?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29. Given that all the Member States themselves adhered to the European Convention of Human Rights (with the concomitant obligation to provide legal aid contained in Article 6(1)(c) of the Convention), it might seem curious that the Union legislator would simply effectively state the obvious, namely, that the requested person had the right to legal counsel, if it was not also intended to provide for legal aid in appropriate cases as well.</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30. This was especially so given the hugely technical and difficult issues - often involving a comparison of the criminal procedure and criminal law of different Member States - which can so often arise in proceedings under the EAW procedure. Could it have been intended that the Union legislator would have been prepared to deny legal aid to persons who might face a </w:t>
                        </w:r>
                        <w:r w:rsidRPr="00392980">
                          <w:rPr>
                            <w:rFonts w:ascii="Verdana" w:eastAsia="Times New Roman" w:hAnsi="Verdana" w:cs="Times New Roman"/>
                            <w:sz w:val="20"/>
                            <w:szCs w:val="20"/>
                            <w:lang w:val="en-GB" w:eastAsia="it-IT"/>
                          </w:rPr>
                          <w:lastRenderedPageBreak/>
                          <w:t xml:space="preserve">request for surrender on very serious charges to distant parts of the European Union where the individual concerned might be totally unfamiliar with the language or the nature of the legal system or had no family ties with the requesting State, while conversely such a person would have had the right to legal aid had he or she been facing more or less identical charges in their own domestic legal system?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31. This is a potentially attractive argument to which, had the matter been res integra, this Court would have been obliged to give close consideration. Indeed, in other circumstances, it might well have been appropriate to exercise the new freedom to make an Article 267 reference to the Court of Justice of the European Union on this very question of the proper interpretation of Article 11(2) of the Framework Decision following the ending of the transitional period.</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32. At the same time it would have to be acknowledged that the very fact that the present common consensus among European legislators is that Article 11(2) does not confer such a right itself must be regarded as strong indicator that </w:t>
                        </w:r>
                        <w:r w:rsidRPr="00392980">
                          <w:rPr>
                            <w:rFonts w:ascii="Verdana" w:eastAsia="Times New Roman" w:hAnsi="Verdana" w:cs="Times New Roman"/>
                            <w:i/>
                            <w:iCs/>
                            <w:sz w:val="20"/>
                            <w:szCs w:val="20"/>
                            <w:lang w:val="en-GB" w:eastAsia="it-IT"/>
                          </w:rPr>
                          <w:t>Olsson</w:t>
                        </w:r>
                        <w:r w:rsidRPr="00392980">
                          <w:rPr>
                            <w:rFonts w:ascii="Verdana" w:eastAsia="Times New Roman" w:hAnsi="Verdana" w:cs="Times New Roman"/>
                            <w:sz w:val="20"/>
                            <w:szCs w:val="20"/>
                            <w:lang w:val="en-GB" w:eastAsia="it-IT"/>
                          </w:rPr>
                          <w:t xml:space="preserve"> is correct and that Article 11(2) does not bear the interpretation for which the plaintiff contends. This is underscored by the proposed legislative changes at EU level to which Ryan P. has referred in his judgment. If there was already a pre-existing right to legal aid which had been conferred by the EAW Framework Decision, then legislative proposals to vest accused with such a right would be entirely superfluous and unnecessary.</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33. For my part, however, I do not think that the issue is, in fact, </w:t>
                        </w:r>
                        <w:r w:rsidRPr="00392980">
                          <w:rPr>
                            <w:rFonts w:ascii="Verdana" w:eastAsia="Times New Roman" w:hAnsi="Verdana" w:cs="Times New Roman"/>
                            <w:i/>
                            <w:iCs/>
                            <w:sz w:val="20"/>
                            <w:szCs w:val="20"/>
                            <w:lang w:val="en-GB" w:eastAsia="it-IT"/>
                          </w:rPr>
                          <w:t>res integra</w:t>
                        </w:r>
                        <w:r w:rsidRPr="00392980">
                          <w:rPr>
                            <w:rFonts w:ascii="Verdana" w:eastAsia="Times New Roman" w:hAnsi="Verdana" w:cs="Times New Roman"/>
                            <w:sz w:val="20"/>
                            <w:szCs w:val="20"/>
                            <w:lang w:val="en-GB" w:eastAsia="it-IT"/>
                          </w:rPr>
                          <w:t xml:space="preserve">. The question of the proper interpretation of Article 11(2) of the Framework Decision was squarely before the Supreme Court in </w:t>
                        </w:r>
                        <w:r w:rsidRPr="00392980">
                          <w:rPr>
                            <w:rFonts w:ascii="Verdana" w:eastAsia="Times New Roman" w:hAnsi="Verdana" w:cs="Times New Roman"/>
                            <w:i/>
                            <w:iCs/>
                            <w:sz w:val="20"/>
                            <w:szCs w:val="20"/>
                            <w:lang w:val="en-GB" w:eastAsia="it-IT"/>
                          </w:rPr>
                          <w:t>Olsson</w:t>
                        </w:r>
                        <w:r w:rsidRPr="00392980">
                          <w:rPr>
                            <w:rFonts w:ascii="Verdana" w:eastAsia="Times New Roman" w:hAnsi="Verdana" w:cs="Times New Roman"/>
                            <w:sz w:val="20"/>
                            <w:szCs w:val="20"/>
                            <w:lang w:val="en-GB" w:eastAsia="it-IT"/>
                          </w:rPr>
                          <w:t xml:space="preserve"> and it clearly ruled that this right dealt with legal representation and not with legal aid. I consider that this Court is bound by </w:t>
                        </w:r>
                        <w:r w:rsidRPr="00392980">
                          <w:rPr>
                            <w:rFonts w:ascii="Verdana" w:eastAsia="Times New Roman" w:hAnsi="Verdana" w:cs="Times New Roman"/>
                            <w:i/>
                            <w:iCs/>
                            <w:sz w:val="20"/>
                            <w:szCs w:val="20"/>
                            <w:lang w:val="en-GB" w:eastAsia="it-IT"/>
                          </w:rPr>
                          <w:t>Olsson</w:t>
                        </w:r>
                        <w:r w:rsidRPr="00392980">
                          <w:rPr>
                            <w:rFonts w:ascii="Verdana" w:eastAsia="Times New Roman" w:hAnsi="Verdana" w:cs="Times New Roman"/>
                            <w:sz w:val="20"/>
                            <w:szCs w:val="20"/>
                            <w:lang w:val="en-GB" w:eastAsia="it-IT"/>
                          </w:rPr>
                          <w:t xml:space="preserve"> to rule adversely to this aspect of the appellant’s claim. I accept, of course, that the Supreme Court did not then - although it would now - have the freedom to make an Article 267 reference at the time it decided Olsson in January 2011, but this in itself cannot take from the authoritative nature of the decision itself.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34. It is also true that, strictly speaking, this Court also enjoys the freedom as a matter of EU law to make an Article 267 reference, irrespective of any views which the Supreme Court may have expressed on the point in </w:t>
                        </w:r>
                        <w:r w:rsidRPr="00392980">
                          <w:rPr>
                            <w:rFonts w:ascii="Verdana" w:eastAsia="Times New Roman" w:hAnsi="Verdana" w:cs="Times New Roman"/>
                            <w:i/>
                            <w:iCs/>
                            <w:sz w:val="20"/>
                            <w:szCs w:val="20"/>
                            <w:lang w:val="en-GB" w:eastAsia="it-IT"/>
                          </w:rPr>
                          <w:t>Olsson</w:t>
                        </w:r>
                        <w:r w:rsidRPr="00392980">
                          <w:rPr>
                            <w:rFonts w:ascii="Verdana" w:eastAsia="Times New Roman" w:hAnsi="Verdana" w:cs="Times New Roman"/>
                            <w:sz w:val="20"/>
                            <w:szCs w:val="20"/>
                            <w:lang w:val="en-GB" w:eastAsia="it-IT"/>
                          </w:rPr>
                          <w:t xml:space="preserve">. In my view, however, having regard to the hierarchical system of our legal system and the importance of precedent in that legal system, it would inappropriate for this Court to take a step which might be thought indirectly to impeach the authority of </w:t>
                        </w:r>
                        <w:r w:rsidRPr="00392980">
                          <w:rPr>
                            <w:rFonts w:ascii="Verdana" w:eastAsia="Times New Roman" w:hAnsi="Verdana" w:cs="Times New Roman"/>
                            <w:i/>
                            <w:iCs/>
                            <w:sz w:val="20"/>
                            <w:szCs w:val="20"/>
                            <w:lang w:val="en-GB" w:eastAsia="it-IT"/>
                          </w:rPr>
                          <w:t xml:space="preserve">Olsson </w:t>
                        </w:r>
                        <w:r w:rsidRPr="00392980">
                          <w:rPr>
                            <w:rFonts w:ascii="Verdana" w:eastAsia="Times New Roman" w:hAnsi="Verdana" w:cs="Times New Roman"/>
                            <w:sz w:val="20"/>
                            <w:szCs w:val="20"/>
                            <w:lang w:val="en-GB" w:eastAsia="it-IT"/>
                          </w:rPr>
                          <w:t>by making an Article 267 reference to the Court of Justice.</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b/>
                            <w:bCs/>
                            <w:sz w:val="20"/>
                            <w:szCs w:val="20"/>
                            <w:lang w:val="en-GB" w:eastAsia="it-IT"/>
                          </w:rPr>
                          <w:t>The constitutional argument</w:t>
                        </w:r>
                        <w:r w:rsidRPr="00392980">
                          <w:rPr>
                            <w:rFonts w:ascii="Times New Roman" w:eastAsia="Times New Roman" w:hAnsi="Times New Roman" w:cs="Times New Roman"/>
                            <w:sz w:val="24"/>
                            <w:szCs w:val="24"/>
                            <w:lang w:val="en-GB" w:eastAsia="it-IT"/>
                          </w:rPr>
                          <w:br/>
                        </w:r>
                        <w:r w:rsidRPr="00392980">
                          <w:rPr>
                            <w:rFonts w:ascii="Verdana" w:eastAsia="Times New Roman" w:hAnsi="Verdana" w:cs="Times New Roman"/>
                            <w:sz w:val="20"/>
                            <w:szCs w:val="20"/>
                            <w:lang w:val="en-GB" w:eastAsia="it-IT"/>
                          </w:rPr>
                          <w:t xml:space="preserve">35. There remains for consideration the constitutional argument which arises in the plenary proceedings. It should be recorded that was not an issue which previously arose in Olsson. That case is, accordingly, not an authority so far as this constitutional point is concerned. The Supreme Court has expressly confirmed that just because the validity of a statute has been upheld by reference to one ground, there is no bar to a subsequent challenge to that statute on another (and novel) ground: see </w:t>
                        </w:r>
                        <w:r w:rsidRPr="00392980">
                          <w:rPr>
                            <w:rFonts w:ascii="Verdana" w:eastAsia="Times New Roman" w:hAnsi="Verdana" w:cs="Times New Roman"/>
                            <w:i/>
                            <w:iCs/>
                            <w:sz w:val="20"/>
                            <w:szCs w:val="20"/>
                            <w:lang w:val="en-GB" w:eastAsia="it-IT"/>
                          </w:rPr>
                          <w:t>The State (Quinn) v. Ryan</w:t>
                        </w:r>
                        <w:r w:rsidRPr="00392980">
                          <w:rPr>
                            <w:rFonts w:ascii="Verdana" w:eastAsia="Times New Roman" w:hAnsi="Verdana" w:cs="Times New Roman"/>
                            <w:sz w:val="20"/>
                            <w:szCs w:val="20"/>
                            <w:lang w:val="en-GB" w:eastAsia="it-IT"/>
                          </w:rPr>
                          <w:t xml:space="preserve"> [1965] I.R. 70, 120, </w:t>
                        </w:r>
                        <w:r w:rsidRPr="00392980">
                          <w:rPr>
                            <w:rFonts w:ascii="Verdana" w:eastAsia="Times New Roman" w:hAnsi="Verdana" w:cs="Times New Roman"/>
                            <w:i/>
                            <w:iCs/>
                            <w:sz w:val="20"/>
                            <w:szCs w:val="20"/>
                            <w:lang w:val="en-GB" w:eastAsia="it-IT"/>
                          </w:rPr>
                          <w:t>per</w:t>
                        </w:r>
                        <w:r w:rsidRPr="00392980">
                          <w:rPr>
                            <w:rFonts w:ascii="Verdana" w:eastAsia="Times New Roman" w:hAnsi="Verdana" w:cs="Times New Roman"/>
                            <w:sz w:val="20"/>
                            <w:szCs w:val="20"/>
                            <w:lang w:val="en-GB" w:eastAsia="it-IT"/>
                          </w:rPr>
                          <w:t xml:space="preserve"> Ó Dálaigh C.J. </w:t>
                        </w:r>
                        <w:r w:rsidRPr="00392980">
                          <w:rPr>
                            <w:rFonts w:ascii="Verdana" w:eastAsia="Times New Roman" w:hAnsi="Verdana" w:cs="Times New Roman"/>
                            <w:i/>
                            <w:iCs/>
                            <w:sz w:val="20"/>
                            <w:szCs w:val="20"/>
                            <w:lang w:val="en-GB" w:eastAsia="it-IT"/>
                          </w:rPr>
                          <w:t>and Laurentiu v. Minister for Justice</w:t>
                        </w:r>
                        <w:r w:rsidRPr="00392980">
                          <w:rPr>
                            <w:rFonts w:ascii="Verdana" w:eastAsia="Times New Roman" w:hAnsi="Verdana" w:cs="Times New Roman"/>
                            <w:sz w:val="20"/>
                            <w:szCs w:val="20"/>
                            <w:lang w:val="en-GB" w:eastAsia="it-IT"/>
                          </w:rPr>
                          <w:t xml:space="preserve"> </w:t>
                        </w:r>
                        <w:hyperlink r:id="rId25" w:tooltip="Link to BAILII version" w:history="1">
                          <w:r w:rsidRPr="00392980">
                            <w:rPr>
                              <w:rFonts w:ascii="Verdana" w:eastAsia="Times New Roman" w:hAnsi="Verdana" w:cs="Times New Roman"/>
                              <w:color w:val="0000FF"/>
                              <w:sz w:val="20"/>
                              <w:szCs w:val="20"/>
                              <w:u w:val="single"/>
                              <w:lang w:val="en-GB" w:eastAsia="it-IT"/>
                            </w:rPr>
                            <w:t>[1999] 4 I.R. 26</w:t>
                          </w:r>
                        </w:hyperlink>
                        <w:r w:rsidRPr="00392980">
                          <w:rPr>
                            <w:rFonts w:ascii="Verdana" w:eastAsia="Times New Roman" w:hAnsi="Verdana" w:cs="Times New Roman"/>
                            <w:sz w:val="20"/>
                            <w:szCs w:val="20"/>
                            <w:lang w:val="en-GB" w:eastAsia="it-IT"/>
                          </w:rPr>
                          <w:t xml:space="preserve">, 59, </w:t>
                        </w:r>
                        <w:r w:rsidRPr="00392980">
                          <w:rPr>
                            <w:rFonts w:ascii="Verdana" w:eastAsia="Times New Roman" w:hAnsi="Verdana" w:cs="Times New Roman"/>
                            <w:i/>
                            <w:iCs/>
                            <w:sz w:val="20"/>
                            <w:szCs w:val="20"/>
                            <w:lang w:val="en-GB" w:eastAsia="it-IT"/>
                          </w:rPr>
                          <w:t>per</w:t>
                        </w:r>
                        <w:r w:rsidRPr="00392980">
                          <w:rPr>
                            <w:rFonts w:ascii="Verdana" w:eastAsia="Times New Roman" w:hAnsi="Verdana" w:cs="Times New Roman"/>
                            <w:sz w:val="20"/>
                            <w:szCs w:val="20"/>
                            <w:lang w:val="en-GB" w:eastAsia="it-IT"/>
                          </w:rPr>
                          <w:t xml:space="preserve"> Denham J. This </w:t>
                        </w:r>
                        <w:r w:rsidRPr="00392980">
                          <w:rPr>
                            <w:rFonts w:ascii="Verdana" w:eastAsia="Times New Roman" w:hAnsi="Verdana" w:cs="Times New Roman"/>
                            <w:sz w:val="20"/>
                            <w:szCs w:val="20"/>
                            <w:lang w:val="en-GB" w:eastAsia="it-IT"/>
                          </w:rPr>
                          <w:lastRenderedPageBreak/>
                          <w:t>principle doubtless applies a fortiori to a challenge to the validity of an administrative scheme.</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36. In the accompanying plenary proceedings the appellant contends that the failure by the Oireachtas to place the Scheme on a statutory footing amount to a violation of Article 40.1 of the Constitution in that he is placed at a disadvantage compared with similarly situated persons whose entitlement to legal aid is governed and regulated by statute. It is submitted that these include persons facing criminal trials for precisely the same offences (or corresponding offences) under domestic law (whose entitlement is governed by the Criminal Justice (Legal Aid) Act 1962)(“the 1962 Act”) or who are facing surrendering under the International Criminal Court Act 2006 (“the 2006 Act”).</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b/>
                            <w:bCs/>
                            <w:sz w:val="20"/>
                            <w:szCs w:val="20"/>
                            <w:lang w:val="en-GB" w:eastAsia="it-IT"/>
                          </w:rPr>
                          <w:t>Whether the constitutional argument is properly before the Court</w:t>
                        </w:r>
                        <w:r w:rsidRPr="00392980">
                          <w:rPr>
                            <w:rFonts w:ascii="Times New Roman" w:eastAsia="Times New Roman" w:hAnsi="Times New Roman" w:cs="Times New Roman"/>
                            <w:sz w:val="24"/>
                            <w:szCs w:val="24"/>
                            <w:lang w:val="en-GB" w:eastAsia="it-IT"/>
                          </w:rPr>
                          <w:br/>
                        </w:r>
                        <w:r w:rsidRPr="00392980">
                          <w:rPr>
                            <w:rFonts w:ascii="Verdana" w:eastAsia="Times New Roman" w:hAnsi="Verdana" w:cs="Times New Roman"/>
                            <w:sz w:val="20"/>
                            <w:szCs w:val="20"/>
                            <w:lang w:val="en-GB" w:eastAsia="it-IT"/>
                          </w:rPr>
                          <w:t xml:space="preserve">37. The first question to be considered under this heading is whether this constitutional argument is properly before the Court and, if it is, whether this Court can appropriately grant a declaration to the effect that, by virtue of a </w:t>
                        </w:r>
                        <w:r w:rsidRPr="00392980">
                          <w:rPr>
                            <w:rFonts w:ascii="Verdana" w:eastAsia="Times New Roman" w:hAnsi="Verdana" w:cs="Times New Roman"/>
                            <w:i/>
                            <w:iCs/>
                            <w:sz w:val="20"/>
                            <w:szCs w:val="20"/>
                            <w:lang w:val="en-GB" w:eastAsia="it-IT"/>
                          </w:rPr>
                          <w:t>lacuna</w:t>
                        </w:r>
                        <w:r w:rsidRPr="00392980">
                          <w:rPr>
                            <w:rFonts w:ascii="Verdana" w:eastAsia="Times New Roman" w:hAnsi="Verdana" w:cs="Times New Roman"/>
                            <w:sz w:val="20"/>
                            <w:szCs w:val="20"/>
                            <w:lang w:val="en-GB" w:eastAsia="it-IT"/>
                          </w:rPr>
                          <w:t xml:space="preserve"> in the 2003 Act, the failure to put the legal aid scheme for persons facing surrender under the 2003 Act on a statutory footing amounts to a breach of Article 40.1 of the Constitution. As this is a matter on which the Court is unfortunately divided, I propose first to address the question of whether the constitutional issue is properly before the Court.</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38. The plenary proceedings (2012, 11958P) were commenced in November 2012. Paragraphs 9 and 10 of the general endorsement of claim are in the following terms:</w:t>
                        </w:r>
                        <w:r w:rsidRPr="00392980">
                          <w:rPr>
                            <w:rFonts w:ascii="Times New Roman" w:eastAsia="Times New Roman" w:hAnsi="Times New Roman" w:cs="Times New Roman"/>
                            <w:sz w:val="24"/>
                            <w:szCs w:val="24"/>
                            <w:lang w:val="en-GB" w:eastAsia="it-IT"/>
                          </w:rPr>
                          <w:t xml:space="preserve"> </w:t>
                        </w:r>
                      </w:p>
                      <w:p w:rsidR="00392980" w:rsidRPr="00392980" w:rsidRDefault="00392980" w:rsidP="00392980">
                        <w:pPr>
                          <w:spacing w:after="0"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“9…..because one or other of the said Legal Aid schemes have been made applicable to other proceedings, which are comparable to or where what is at stake for the affected individual is in no way as serious as in [European Arrest Warrant] proceedings. The EAW Act is unconstitutional to that extent, contravening, </w:t>
                        </w:r>
                        <w:r w:rsidRPr="00392980">
                          <w:rPr>
                            <w:rFonts w:ascii="Verdana" w:eastAsia="Times New Roman" w:hAnsi="Verdana" w:cs="Times New Roman"/>
                            <w:i/>
                            <w:iCs/>
                            <w:sz w:val="20"/>
                            <w:szCs w:val="20"/>
                            <w:lang w:eastAsia="it-IT"/>
                          </w:rPr>
                          <w:t>inter alia</w:t>
                        </w:r>
                        <w:r w:rsidRPr="00392980">
                          <w:rPr>
                            <w:rFonts w:ascii="Verdana" w:eastAsia="Times New Roman" w:hAnsi="Verdana" w:cs="Times New Roman"/>
                            <w:sz w:val="20"/>
                            <w:szCs w:val="20"/>
                            <w:lang w:eastAsia="it-IT"/>
                          </w:rPr>
                          <w:t xml:space="preserve">, the guarantee in Article 40 s.1 of equality before the law: for instance, s. 23(5) and s. 23(6) of the International Criminal Court Act 2006 and s. 118 of the Criminal Justice Act 2006 (“civil” anti-social behaviour orders) as well as an extensive range of other civil proceedings. </w:t>
                        </w:r>
                      </w:p>
                      <w:p w:rsidR="00392980" w:rsidRPr="00392980" w:rsidRDefault="00392980" w:rsidP="00392980">
                        <w:pPr>
                          <w:spacing w:before="100" w:beforeAutospacing="1" w:after="100" w:afterAutospacing="1"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10. Accordingly, since the plaintiff would at the time be eligible for legal aid under the aforesaid regimes but neither the EAW Act or other legislation or statutory instrument applies one or other of these regimes to the EAW proceedings, the EAW Act is unconstitutional and contravenes E.U. law to that extent, a consequence of which the plaintiff’s surrender under the aforesaid EAW Act is not permitted.”</w:t>
                        </w:r>
                      </w:p>
                      <w:p w:rsidR="00392980" w:rsidRPr="00392980" w:rsidRDefault="00392980" w:rsidP="00392980">
                        <w:pPr>
                          <w:spacing w:after="0"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39. The plaintiff then simply claimed “a declaration accordingly” in the prayer for relief. These claims were repeated in the statement of claim delivered on 23rd November 2012. Paragraphs 12 and 13 of the State’s defence delivered on 13 October 2013 are in the following terms:</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after="0"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“11. It is denied that the European Arrest Warrant Act 2003 as amended is unconstitutional due to the availability of legal aid in respect of other proceedings which are comparable or less serious for the individual than </w:t>
                        </w:r>
                        <w:r w:rsidRPr="00392980">
                          <w:rPr>
                            <w:rFonts w:ascii="Verdana" w:eastAsia="Times New Roman" w:hAnsi="Verdana" w:cs="Times New Roman"/>
                            <w:sz w:val="20"/>
                            <w:szCs w:val="20"/>
                            <w:lang w:eastAsia="it-IT"/>
                          </w:rPr>
                          <w:lastRenderedPageBreak/>
                          <w:t>proceedings under the European Arrest Warrant Act 2003 as amended.</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12. It is denied that the European Arrest Warrant Act 2003 as amended contravenes the guarantee in Article 40.1 of the Constitution of equality before the law.”</w:t>
                        </w:r>
                      </w:p>
                      <w:p w:rsidR="00392980" w:rsidRPr="00392980" w:rsidRDefault="00392980" w:rsidP="00392980">
                        <w:pPr>
                          <w:spacing w:after="0"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40. The plaintiff’s High Court written submissions dated 29th May 2014 clearly raise these issues. While it is unnecessary to reproduce these submissions in this judgment, it is perhaps sufficient to state that these submissions contend that the 2003 Act was unconstitutional to the extent that it failed to provide legal aid when such a right was available to similarly situated litigants. The plaintiff further contended that legislation could be unconstitutional “to the extent that it fails to make provision for certain entitlements.” The plaintiff then referred to other cases dealing with the application of Article 40.1 to the extradition/surrender of accused persons such as </w:t>
                        </w:r>
                        <w:r w:rsidRPr="00392980">
                          <w:rPr>
                            <w:rFonts w:ascii="Verdana" w:eastAsia="Times New Roman" w:hAnsi="Verdana" w:cs="Times New Roman"/>
                            <w:i/>
                            <w:iCs/>
                            <w:sz w:val="20"/>
                            <w:szCs w:val="20"/>
                            <w:lang w:eastAsia="it-IT"/>
                          </w:rPr>
                          <w:t>McMahon v. Leahy</w:t>
                        </w:r>
                        <w:r w:rsidRPr="00392980">
                          <w:rPr>
                            <w:rFonts w:ascii="Verdana" w:eastAsia="Times New Roman" w:hAnsi="Verdana" w:cs="Times New Roman"/>
                            <w:sz w:val="20"/>
                            <w:szCs w:val="20"/>
                            <w:lang w:eastAsia="it-IT"/>
                          </w:rPr>
                          <w:t xml:space="preserve"> [1984] I.R. 525 and </w:t>
                        </w:r>
                        <w:r w:rsidRPr="00392980">
                          <w:rPr>
                            <w:rFonts w:ascii="Verdana" w:eastAsia="Times New Roman" w:hAnsi="Verdana" w:cs="Times New Roman"/>
                            <w:i/>
                            <w:iCs/>
                            <w:sz w:val="20"/>
                            <w:szCs w:val="20"/>
                            <w:lang w:eastAsia="it-IT"/>
                          </w:rPr>
                          <w:t>O’Sullivan v. Irish Prison Service</w:t>
                        </w:r>
                        <w:r w:rsidRPr="00392980">
                          <w:rPr>
                            <w:rFonts w:ascii="Verdana" w:eastAsia="Times New Roman" w:hAnsi="Verdana" w:cs="Times New Roman"/>
                            <w:sz w:val="20"/>
                            <w:szCs w:val="20"/>
                            <w:lang w:eastAsia="it-IT"/>
                          </w:rPr>
                          <w:t xml:space="preserve"> [2010] 4 I.R.562.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41. The written submissions of the State dealing with the constitutional issue focussed first on the application of </w:t>
                        </w:r>
                        <w:r w:rsidRPr="00392980">
                          <w:rPr>
                            <w:rFonts w:ascii="Verdana" w:eastAsia="Times New Roman" w:hAnsi="Verdana" w:cs="Times New Roman"/>
                            <w:i/>
                            <w:iCs/>
                            <w:sz w:val="20"/>
                            <w:szCs w:val="20"/>
                            <w:lang w:eastAsia="it-IT"/>
                          </w:rPr>
                          <w:t>Cahill v. Sutton</w:t>
                        </w:r>
                        <w:r w:rsidRPr="00392980">
                          <w:rPr>
                            <w:rFonts w:ascii="Verdana" w:eastAsia="Times New Roman" w:hAnsi="Verdana" w:cs="Times New Roman"/>
                            <w:sz w:val="20"/>
                            <w:szCs w:val="20"/>
                            <w:lang w:eastAsia="it-IT"/>
                          </w:rPr>
                          <w:t xml:space="preserve"> [1980] I.R. 269 and the plaintiff’s alleged lack of locus standi to challenge the absence of a statutory entitlement to legal aid. It should be said that this particular objection was rejected by Edwards J. as he found that the plaintiff’s financial circumstances were “unhappy” and that he would “most likely qualify for legal aid under the Criminal Justice (Legal Aid) Act 1962 if he were facing a criminal charge in this jurisdiction.” The State has not sought in this appeal to disturb that finding of fact.</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42. The balance of the State’s arguments on the constitutional issue were directed - in admittedly relatively brief terms - to the substance of the Article 40.1 claim. Relying on the dicta in cases such as </w:t>
                        </w:r>
                        <w:r w:rsidRPr="00392980">
                          <w:rPr>
                            <w:rFonts w:ascii="Verdana" w:eastAsia="Times New Roman" w:hAnsi="Verdana" w:cs="Times New Roman"/>
                            <w:i/>
                            <w:iCs/>
                            <w:sz w:val="20"/>
                            <w:szCs w:val="20"/>
                            <w:lang w:eastAsia="it-IT"/>
                          </w:rPr>
                          <w:t>Minister for Justice, Equality and Law Reform v. Sliczynski</w:t>
                        </w:r>
                        <w:r w:rsidRPr="00392980">
                          <w:rPr>
                            <w:rFonts w:ascii="Verdana" w:eastAsia="Times New Roman" w:hAnsi="Verdana" w:cs="Times New Roman"/>
                            <w:sz w:val="20"/>
                            <w:szCs w:val="20"/>
                            <w:lang w:eastAsia="it-IT"/>
                          </w:rPr>
                          <w:t xml:space="preserve"> </w:t>
                        </w:r>
                        <w:hyperlink r:id="rId26" w:tooltip="Link to BAILII version" w:history="1">
                          <w:r w:rsidRPr="00392980">
                            <w:rPr>
                              <w:rFonts w:ascii="Verdana" w:eastAsia="Times New Roman" w:hAnsi="Verdana" w:cs="Times New Roman"/>
                              <w:color w:val="0000FF"/>
                              <w:sz w:val="20"/>
                              <w:szCs w:val="20"/>
                              <w:u w:val="single"/>
                              <w:lang w:eastAsia="it-IT"/>
                            </w:rPr>
                            <w:t>[2008] IESC 32</w:t>
                          </w:r>
                        </w:hyperlink>
                        <w:r w:rsidRPr="00392980">
                          <w:rPr>
                            <w:rFonts w:ascii="Verdana" w:eastAsia="Times New Roman" w:hAnsi="Verdana" w:cs="Times New Roman"/>
                            <w:sz w:val="20"/>
                            <w:szCs w:val="20"/>
                            <w:lang w:eastAsia="it-IT"/>
                          </w:rPr>
                          <w:t xml:space="preserve"> which stressed that proceedings under the EAW procedure were sui generis, the State contended that measures such as the 2006 Act dealing with the International Criminal Court were accordingly not an appropriate comparator for this purpose.</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43. The constitutional issue was fully addressed in the main judgment of Edwards J. at paras. 54-57 of that judgment. He rejected the Article 40.1 arguments for reasons I will separately and presently consider. It is true that the question of the form of a declaration is not addressed in the judgment of Edwards J., but since, of course, he rejected the argument on its merits the issue of a potential remedy simply did not arise for consideration.</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44. The plaintiff’s notice of appeal of 5th March 2015 from that decision of Edwards J. seeks “a declaration of unconstitutionality and/or incompatibility with EU law” insofar as “the European Arrest Warrant Act 2003, as amended, does not provide for the type of legal aid being contended for.” The plaintiff’s written submissions of 31st March 2015 address the merits of the Article 40.1 issue under the headings of equivalence/equality with sub-headings dealing with appropriate comparators and whether these distinctions were justifiable. The written submissions of the State dated 13th April 2015 also address these arguments, specifically stating (at para. 58) that there is no basis “in </w:t>
                        </w:r>
                        <w:r w:rsidRPr="00392980">
                          <w:rPr>
                            <w:rFonts w:ascii="Verdana" w:eastAsia="Times New Roman" w:hAnsi="Verdana" w:cs="Times New Roman"/>
                            <w:sz w:val="20"/>
                            <w:szCs w:val="20"/>
                            <w:lang w:eastAsia="it-IT"/>
                          </w:rPr>
                          <w:lastRenderedPageBreak/>
                          <w:t>European Law or in the Constitution requiring an equivalent scheme to provide for legal representation in differing situations.”</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45. These submissions were repeated by counsel on both sides in the course of the hearing. The transcript of the hearing before this Court makes it clear that counsel for the plaintiff was relying on the equality argument independently of any argument based on </w:t>
                        </w:r>
                        <w:r w:rsidRPr="00392980">
                          <w:rPr>
                            <w:rFonts w:ascii="Verdana" w:eastAsia="Times New Roman" w:hAnsi="Verdana" w:cs="Times New Roman"/>
                            <w:i/>
                            <w:iCs/>
                            <w:sz w:val="20"/>
                            <w:szCs w:val="20"/>
                            <w:lang w:eastAsia="it-IT"/>
                          </w:rPr>
                          <w:t>Olssson.</w:t>
                        </w:r>
                        <w:r w:rsidRPr="00392980">
                          <w:rPr>
                            <w:rFonts w:ascii="Verdana" w:eastAsia="Times New Roman" w:hAnsi="Verdana" w:cs="Times New Roman"/>
                            <w:sz w:val="20"/>
                            <w:szCs w:val="20"/>
                            <w:lang w:eastAsia="it-IT"/>
                          </w:rPr>
                          <w:t xml:space="preserve"> Counsel for the State also addressed the Court on the equality issue, stressing that there was no “invidious discrimination” and that the plaintiff had not “identified how he has been treated differently to any group of people who are in an equally comparable position to himself.”</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46. In my view, the Article 40.1 issue was squarely before the Court. It is true that neither counsel elected not to make any submissions on the precise form of remedy in the event that a breach of Article 40.1 was disclosed, but I do not think that either side realistically contend that they did not have fair notice that this issue might arise were the Court to arrive at a conclusion that Article 40.1 had been infringed. The State defendants plainly faced the possibility that the 2003 Act might be declared unconstitutional and they were on full notice of this. The grant of a declaration identifying a constitutional breach by reason of the legislative lacuna while at the same time refusing to declare the 2003 Act unconstitutional is surely less intrusive so far as the State is concerned as compared with a more broad ranging declaration of constitutional invalidity which might otherwise have been granted.</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47. In these circumstances I consider that I am entitled to consider the merits of the constitutional argument.</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b/>
                            <w:bCs/>
                            <w:sz w:val="20"/>
                            <w:szCs w:val="20"/>
                            <w:lang w:eastAsia="it-IT"/>
                          </w:rPr>
                          <w:t>The merits of the constitutional argument</w:t>
                        </w:r>
                        <w:r w:rsidRPr="00392980">
                          <w:rPr>
                            <w:rFonts w:ascii="Times New Roman" w:eastAsia="Times New Roman" w:hAnsi="Times New Roman" w:cs="Times New Roman"/>
                            <w:sz w:val="24"/>
                            <w:szCs w:val="24"/>
                            <w:lang w:eastAsia="it-IT"/>
                          </w:rPr>
                          <w:br/>
                        </w:r>
                        <w:r w:rsidRPr="00392980">
                          <w:rPr>
                            <w:rFonts w:ascii="Verdana" w:eastAsia="Times New Roman" w:hAnsi="Verdana" w:cs="Times New Roman"/>
                            <w:sz w:val="20"/>
                            <w:szCs w:val="20"/>
                            <w:lang w:eastAsia="it-IT"/>
                          </w:rPr>
                          <w:t>48. As I have already noted, a key part of the plaintiff’s argument is that the failure to provide a statutory scheme of legal aid in the case of persons facing surrender under the 2003 Act amounts to an unconstitutional discrimination contrary to Article 40.1.</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49. One of the immediate comparators relied on for this purpose is that of persons facing surrender under the International Criminal Court Act 2006. In the latter case, s. 23(5) and s. 23(6) of the 2006 Act provide:</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after="0"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"(5) The Court shall order that legal aid be provided for the arrested person if it appears to it that the person's means are insufficient to enable him or her to obtain such aid.</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6. On the making of such an order the arrested person shall be entitled to free legal aid in the proceedings and for that purpose s. 3 of the Criminal Justice (Legal Aid) Act 1962 shall apply, with the necessary modifications, in relation to the person as if he or she had been granted a legal aid (trial on indictment) certificate under that section.”</w:t>
                        </w:r>
                      </w:p>
                      <w:p w:rsidR="00392980" w:rsidRPr="00392980" w:rsidRDefault="00392980" w:rsidP="00392980">
                        <w:pPr>
                          <w:spacing w:after="0"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50. In the High Court Edwards J. rejected the argument that the 2006 Act provided an appropriate comparator noting that “a requirement to provide legal aid is created by Article 55 and Article 67 the Rome Statute of the International Criminal Court.” Article 55 deals with legal aid at the questioning stage and Article 67 deals with legal aid at the trial of the accused before the International Criminal Court itself. While Part IX of the </w:t>
                        </w:r>
                        <w:r w:rsidRPr="00392980">
                          <w:rPr>
                            <w:rFonts w:ascii="Verdana" w:eastAsia="Times New Roman" w:hAnsi="Verdana" w:cs="Times New Roman"/>
                            <w:sz w:val="20"/>
                            <w:szCs w:val="20"/>
                            <w:lang w:eastAsia="it-IT"/>
                          </w:rPr>
                          <w:lastRenderedPageBreak/>
                          <w:t xml:space="preserve">Rome Statute deals with the surrender of accused persons by the requested state, contrary to what Edwards J. appears to have suggested, there appears to be no entitlement to </w:t>
                        </w:r>
                        <w:r w:rsidRPr="00392980">
                          <w:rPr>
                            <w:rFonts w:ascii="Verdana" w:eastAsia="Times New Roman" w:hAnsi="Verdana" w:cs="Times New Roman"/>
                            <w:i/>
                            <w:iCs/>
                            <w:sz w:val="20"/>
                            <w:szCs w:val="20"/>
                            <w:lang w:eastAsia="it-IT"/>
                          </w:rPr>
                          <w:t>legal aid in respect of the actual surrender process itself before the national authorities</w:t>
                        </w:r>
                        <w:r w:rsidRPr="00392980">
                          <w:rPr>
                            <w:rFonts w:ascii="Verdana" w:eastAsia="Times New Roman" w:hAnsi="Verdana" w:cs="Times New Roman"/>
                            <w:sz w:val="20"/>
                            <w:szCs w:val="20"/>
                            <w:lang w:eastAsia="it-IT"/>
                          </w:rPr>
                          <w:t xml:space="preserve">. This simply serves to make the comparison between the 2003 Act and the 2006 Act even more apt so far as the plaintiff is concerned.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51. It is true, of course, that there are significant differences between all three regimes. In particular, the 1962 Act is directed to persons facing criminal trial in this State. Likewise, the circumstances in which the request procedure under the 2006 Act might be invoked would, in practice, be confined to quite exceptional cases. Whereas surrender requests under the 2003 Act are routine, there seems to be no recorded case where the 2006 Act procedures have been invoked to date.</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52. One might also observe that the practical effects of the differing treatment as between the different regimes may not be great, especially if - as was confirmed in </w:t>
                        </w:r>
                        <w:r w:rsidRPr="00392980">
                          <w:rPr>
                            <w:rFonts w:ascii="Verdana" w:eastAsia="Times New Roman" w:hAnsi="Verdana" w:cs="Times New Roman"/>
                            <w:i/>
                            <w:iCs/>
                            <w:sz w:val="20"/>
                            <w:szCs w:val="20"/>
                            <w:lang w:eastAsia="it-IT"/>
                          </w:rPr>
                          <w:t>Olsson</w:t>
                        </w:r>
                        <w:r w:rsidRPr="00392980">
                          <w:rPr>
                            <w:rFonts w:ascii="Verdana" w:eastAsia="Times New Roman" w:hAnsi="Verdana" w:cs="Times New Roman"/>
                            <w:sz w:val="20"/>
                            <w:szCs w:val="20"/>
                            <w:lang w:eastAsia="it-IT"/>
                          </w:rPr>
                          <w:t xml:space="preserve"> - any judicial recommendation for legal aid is honoured by the Minister as a matter of invariable practice and not simply as a question of gratuitous benevolence. There are nevertheless real differences between the Scheme and a statutory entitlement under, </w:t>
                        </w:r>
                        <w:r w:rsidRPr="00392980">
                          <w:rPr>
                            <w:rFonts w:ascii="Verdana" w:eastAsia="Times New Roman" w:hAnsi="Verdana" w:cs="Times New Roman"/>
                            <w:i/>
                            <w:iCs/>
                            <w:sz w:val="20"/>
                            <w:szCs w:val="20"/>
                            <w:lang w:eastAsia="it-IT"/>
                          </w:rPr>
                          <w:t>e.g.</w:t>
                        </w:r>
                        <w:r w:rsidRPr="00392980">
                          <w:rPr>
                            <w:rFonts w:ascii="Verdana" w:eastAsia="Times New Roman" w:hAnsi="Verdana" w:cs="Times New Roman"/>
                            <w:sz w:val="20"/>
                            <w:szCs w:val="20"/>
                            <w:lang w:eastAsia="it-IT"/>
                          </w:rPr>
                          <w:t>, the 1962 Act or the 2006 Act. These differences were summarised thus by Edwards J.:</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after="0"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 Application to avail of the scheme has to be made at the very outset, often when the individual or a solicitor may have no inkling of how difficult or protracted the case may be or the person's prospect of success. </w:t>
                        </w:r>
                      </w:p>
                      <w:p w:rsidR="00392980" w:rsidRPr="00392980" w:rsidRDefault="00392980" w:rsidP="00392980">
                        <w:pPr>
                          <w:spacing w:before="100" w:beforeAutospacing="1" w:after="100" w:afterAutospacing="1"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 Although an application is made at the outset, it is only when the case concludes that a recommendation may be made. At the conclusion, a recommendation may be refused by the court, but there are no available criteria as to how this discretion is to be exercised; different judges may have radically different approaches to this. The Court is invited to contrast the position under the two existing statutory legal aid schemes created by the Criminal Justice (Legal Aid) Act 1962 and the Civil Legal Aid Act 1995. </w:t>
                        </w:r>
                      </w:p>
                      <w:p w:rsidR="00392980" w:rsidRPr="00392980" w:rsidRDefault="00392980" w:rsidP="00392980">
                        <w:pPr>
                          <w:spacing w:before="100" w:beforeAutospacing="1" w:after="100" w:afterAutospacing="1"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 In terms of the critical question of financial eligibility, there are no available criteria concerning assets or income, which will disqualify a person from benefiting under the scheme. A court is left entirely at large, and different judges may have radically different approaches to this. Again, the Court is invited to contrast the position under the two existing statutory legal aid schemes created by the Criminal Justice (Legal Aid) Act 1962 and the Civil Legal Aid Act 1995. </w:t>
                        </w:r>
                      </w:p>
                      <w:p w:rsidR="00392980" w:rsidRPr="00392980" w:rsidRDefault="00392980" w:rsidP="00392980">
                        <w:pPr>
                          <w:spacing w:before="100" w:beforeAutospacing="1" w:after="100" w:afterAutospacing="1"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 Requiring a court to deal with all disputes about financial eligibility, even if threshold criteria existed, offends against the separation of powers, since this is an entirely administrative function that can be discharged by the Legal Aid Board, as it is under the Civil Legal Aid Act 1995. </w:t>
                        </w:r>
                      </w:p>
                      <w:p w:rsidR="00392980" w:rsidRPr="00392980" w:rsidRDefault="00392980" w:rsidP="00392980">
                        <w:pPr>
                          <w:spacing w:before="100" w:beforeAutospacing="1" w:after="100" w:afterAutospacing="1"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lastRenderedPageBreak/>
                          <w:t xml:space="preserve">• The present scheme has never been amended to make it clear that the ‘discretion is exercised only in one way’ in European arrest warrant cases.” </w:t>
                        </w:r>
                      </w:p>
                      <w:p w:rsidR="00392980" w:rsidRPr="00392980" w:rsidRDefault="00392980" w:rsidP="00392980">
                        <w:pPr>
                          <w:spacing w:after="0"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53. The Scheme thus lacks the detailed, legal criteria of a kind to be expected in a statutory provision, not least the all important criteria dealing with financial eligibility.</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54. In this respect, it is impossible to avoid the conclusion that persons whose surrender is requested under the 2003 Act are not in this respect treated equally before the law in the manner required by Article 40.1 so far their entitlements to legal aid is concerned. In the case of persons whose surrender is sought under the 2003 Act, their entitlement to legal aid rests on the operation of an extra-statutory scheme as leavened by judicial practice and commitments given by State officials, whereas in other essentially similar cases the entitlement is governed and regulated by law, i.e., legislation enacted for this purpose by the Oireachtas.</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55. It is also undeniable that both the extra-statutory nature of the Scheme and the fact that the person facing surrender must wait until the conclusion of the hearing for a judicial determination - which itself is not based on any fixed criteria - as to eligibility and the making of a recommendation dilute the position of the client. In contrast to the position under the 1962 Act, the requested person is thus placed at a greater disadvantage in securing appropriate legal services and, indeed, for that matter, subtly weakens his or her right to object or complain if dissatisfied with the level of legal services actually provided.</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56. It must equally be concluded that, so far as this issue is concerned, there are no real differences of substance between the cases of persons facing trial in a domestic court or facing surrender under the 2006 Act on the one hand and those facing surrender under the 2003 Act on the other. It could hardly be correct that, for example, the legal aid entitlements of a requested person facing surrender to London on fraud charges should rest on the terms of a purely administrative scheme with all its attendant uncertainties (even if - as must be accepted - that scheme is invariably applied in a positive manner once there is a judicial recommendation to this effect) whereas such a person facing trial in Dublin on exactly the same charges would have a statutory entitlement to legal aid in the manner specified by the 1962 Act.</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57. No meaningful distinction, moreover, can be drawn for this purpose between surrender requests made under the 2003 Act and those made under the 2006 Act. Indeed, it may be noted that this is tacitly acknowledged by Article 16(4) of the Framework Decision when, dealing with multiple requests for surrender, it provides that:</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after="0"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“This Article shall be without prejudice to the Member States’ obligations under the Statute of the International Criminal Court.”</w:t>
                        </w:r>
                      </w:p>
                      <w:p w:rsidR="00392980" w:rsidRPr="00392980" w:rsidRDefault="00392980" w:rsidP="00392980">
                        <w:pPr>
                          <w:spacing w:after="0"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58. In this respect, it must be recalled that the Supreme Court has confirmed that the principle of equality in Article 40.1 is engaged by the differing treatment of requested persons in extradition proceedings: see </w:t>
                        </w:r>
                        <w:r w:rsidRPr="00392980">
                          <w:rPr>
                            <w:rFonts w:ascii="Verdana" w:eastAsia="Times New Roman" w:hAnsi="Verdana" w:cs="Times New Roman"/>
                            <w:i/>
                            <w:iCs/>
                            <w:sz w:val="20"/>
                            <w:szCs w:val="20"/>
                            <w:lang w:eastAsia="it-IT"/>
                          </w:rPr>
                          <w:t>McMahon v. Leahy</w:t>
                        </w:r>
                        <w:r w:rsidRPr="00392980">
                          <w:rPr>
                            <w:rFonts w:ascii="Verdana" w:eastAsia="Times New Roman" w:hAnsi="Verdana" w:cs="Times New Roman"/>
                            <w:sz w:val="20"/>
                            <w:szCs w:val="20"/>
                            <w:lang w:eastAsia="it-IT"/>
                          </w:rPr>
                          <w:t xml:space="preserve"> [1984] I.R. 525. Nor can these differences be properly viewed as reflecting what Ó Dálaigh C.J. regarded in </w:t>
                        </w:r>
                        <w:r w:rsidRPr="00392980">
                          <w:rPr>
                            <w:rFonts w:ascii="Verdana" w:eastAsia="Times New Roman" w:hAnsi="Verdana" w:cs="Times New Roman"/>
                            <w:i/>
                            <w:iCs/>
                            <w:sz w:val="20"/>
                            <w:szCs w:val="20"/>
                            <w:lang w:eastAsia="it-IT"/>
                          </w:rPr>
                          <w:t>The State (Hartley) v. Governor of Mountjoy Prison</w:t>
                        </w:r>
                        <w:r w:rsidRPr="00392980">
                          <w:rPr>
                            <w:rFonts w:ascii="Verdana" w:eastAsia="Times New Roman" w:hAnsi="Verdana" w:cs="Times New Roman"/>
                            <w:sz w:val="20"/>
                            <w:szCs w:val="20"/>
                            <w:lang w:eastAsia="it-IT"/>
                          </w:rPr>
                          <w:t xml:space="preserve">, Supreme Court, 21st December 1967 as a “diversity of arrangements” in respect of the differences in the </w:t>
                        </w:r>
                        <w:r w:rsidRPr="00392980">
                          <w:rPr>
                            <w:rFonts w:ascii="Verdana" w:eastAsia="Times New Roman" w:hAnsi="Verdana" w:cs="Times New Roman"/>
                            <w:sz w:val="20"/>
                            <w:szCs w:val="20"/>
                            <w:lang w:eastAsia="it-IT"/>
                          </w:rPr>
                          <w:lastRenderedPageBreak/>
                          <w:t xml:space="preserve">extradition regime governed by Part II and Part III respectively of the Extradition Act 1965.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59. In </w:t>
                        </w:r>
                        <w:r w:rsidRPr="00392980">
                          <w:rPr>
                            <w:rFonts w:ascii="Verdana" w:eastAsia="Times New Roman" w:hAnsi="Verdana" w:cs="Times New Roman"/>
                            <w:i/>
                            <w:iCs/>
                            <w:sz w:val="20"/>
                            <w:szCs w:val="20"/>
                            <w:lang w:eastAsia="it-IT"/>
                          </w:rPr>
                          <w:t xml:space="preserve">Hartley </w:t>
                        </w:r>
                        <w:r w:rsidRPr="00392980">
                          <w:rPr>
                            <w:rFonts w:ascii="Verdana" w:eastAsia="Times New Roman" w:hAnsi="Verdana" w:cs="Times New Roman"/>
                            <w:sz w:val="20"/>
                            <w:szCs w:val="20"/>
                            <w:lang w:eastAsia="it-IT"/>
                          </w:rPr>
                          <w:t xml:space="preserve">the Supreme Court found nothing objectionable in the fact that extradition arrangements to the United Kingdom (in Part III) were significantly different than similar arrangements with other countries. There was plainly an objective justification for such differences, since our relations with the UK in terms of history, tradition, language, culture, legal system, free movement of persons and, not least, geographical propinquity are such as would justify special arrangements for the extradition of suspects to our nearest neighbour as compared with all other countries.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60. It is, of course, absolutely correct to state that surrender under the EAW procedure is </w:t>
                        </w:r>
                        <w:r w:rsidRPr="00392980">
                          <w:rPr>
                            <w:rFonts w:ascii="Verdana" w:eastAsia="Times New Roman" w:hAnsi="Verdana" w:cs="Times New Roman"/>
                            <w:i/>
                            <w:iCs/>
                            <w:sz w:val="20"/>
                            <w:szCs w:val="20"/>
                            <w:lang w:eastAsia="it-IT"/>
                          </w:rPr>
                          <w:t>sui generis</w:t>
                        </w:r>
                        <w:r w:rsidRPr="00392980">
                          <w:rPr>
                            <w:rFonts w:ascii="Verdana" w:eastAsia="Times New Roman" w:hAnsi="Verdana" w:cs="Times New Roman"/>
                            <w:sz w:val="20"/>
                            <w:szCs w:val="20"/>
                            <w:lang w:eastAsia="it-IT"/>
                          </w:rPr>
                          <w:t xml:space="preserve">. To the extent, therefore, that the substance of the procedure under the 2003 Act is governed by EU law it would be inappropriate to import purely national rules regarding evidence and pre-trial procedure into that system: see, </w:t>
                        </w:r>
                        <w:r w:rsidRPr="00392980">
                          <w:rPr>
                            <w:rFonts w:ascii="Verdana" w:eastAsia="Times New Roman" w:hAnsi="Verdana" w:cs="Times New Roman"/>
                            <w:i/>
                            <w:iCs/>
                            <w:sz w:val="20"/>
                            <w:szCs w:val="20"/>
                            <w:lang w:eastAsia="it-IT"/>
                          </w:rPr>
                          <w:t>e.g., Minister for Justice, Equality and Law Reform v. Sliczynski</w:t>
                        </w:r>
                        <w:r w:rsidRPr="00392980">
                          <w:rPr>
                            <w:rFonts w:ascii="Verdana" w:eastAsia="Times New Roman" w:hAnsi="Verdana" w:cs="Times New Roman"/>
                            <w:sz w:val="20"/>
                            <w:szCs w:val="20"/>
                            <w:lang w:eastAsia="it-IT"/>
                          </w:rPr>
                          <w:t xml:space="preserve"> </w:t>
                        </w:r>
                        <w:hyperlink r:id="rId27" w:tooltip="Link to BAILII version" w:history="1">
                          <w:r w:rsidRPr="00392980">
                            <w:rPr>
                              <w:rFonts w:ascii="Verdana" w:eastAsia="Times New Roman" w:hAnsi="Verdana" w:cs="Times New Roman"/>
                              <w:color w:val="0000FF"/>
                              <w:sz w:val="20"/>
                              <w:szCs w:val="20"/>
                              <w:u w:val="single"/>
                              <w:lang w:eastAsia="it-IT"/>
                            </w:rPr>
                            <w:t>[2008] IESC 73</w:t>
                          </w:r>
                        </w:hyperlink>
                        <w:r w:rsidRPr="00392980">
                          <w:rPr>
                            <w:rFonts w:ascii="Verdana" w:eastAsia="Times New Roman" w:hAnsi="Verdana" w:cs="Times New Roman"/>
                            <w:sz w:val="20"/>
                            <w:szCs w:val="20"/>
                            <w:lang w:eastAsia="it-IT"/>
                          </w:rPr>
                          <w:t>, per Macken J.</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61. It is also correct to state that the EAW procedure provides for a system of surrender based within the European area of justice and home affairs which system is in turn based on mutual trust and respect. To that extent the surrender procedure cannot properly be compared with the system of extradition to third countries: see </w:t>
                        </w:r>
                        <w:r w:rsidRPr="00392980">
                          <w:rPr>
                            <w:rFonts w:ascii="Verdana" w:eastAsia="Times New Roman" w:hAnsi="Verdana" w:cs="Times New Roman"/>
                            <w:i/>
                            <w:iCs/>
                            <w:sz w:val="20"/>
                            <w:szCs w:val="20"/>
                            <w:lang w:eastAsia="it-IT"/>
                          </w:rPr>
                          <w:t>O’Sullivan v. Chief Executive of the Irish Prison Service</w:t>
                        </w:r>
                        <w:r w:rsidRPr="00392980">
                          <w:rPr>
                            <w:rFonts w:ascii="Verdana" w:eastAsia="Times New Roman" w:hAnsi="Verdana" w:cs="Times New Roman"/>
                            <w:sz w:val="20"/>
                            <w:szCs w:val="20"/>
                            <w:lang w:eastAsia="it-IT"/>
                          </w:rPr>
                          <w:t xml:space="preserve"> </w:t>
                        </w:r>
                        <w:hyperlink r:id="rId28" w:tooltip="Link to BAILII version" w:history="1">
                          <w:r w:rsidRPr="00392980">
                            <w:rPr>
                              <w:rFonts w:ascii="Verdana" w:eastAsia="Times New Roman" w:hAnsi="Verdana" w:cs="Times New Roman"/>
                              <w:color w:val="0000FF"/>
                              <w:sz w:val="20"/>
                              <w:szCs w:val="20"/>
                              <w:u w:val="single"/>
                              <w:lang w:eastAsia="it-IT"/>
                            </w:rPr>
                            <w:t>[2010] IEHC 301</w:t>
                          </w:r>
                        </w:hyperlink>
                        <w:r w:rsidRPr="00392980">
                          <w:rPr>
                            <w:rFonts w:ascii="Verdana" w:eastAsia="Times New Roman" w:hAnsi="Verdana" w:cs="Times New Roman"/>
                            <w:sz w:val="20"/>
                            <w:szCs w:val="20"/>
                            <w:lang w:eastAsia="it-IT"/>
                          </w:rPr>
                          <w:t xml:space="preserve">, [2010] 4 I.R. 301, </w:t>
                        </w:r>
                        <w:r w:rsidRPr="00392980">
                          <w:rPr>
                            <w:rFonts w:ascii="Verdana" w:eastAsia="Times New Roman" w:hAnsi="Verdana" w:cs="Times New Roman"/>
                            <w:i/>
                            <w:iCs/>
                            <w:sz w:val="20"/>
                            <w:szCs w:val="20"/>
                            <w:lang w:eastAsia="it-IT"/>
                          </w:rPr>
                          <w:t>per</w:t>
                        </w:r>
                        <w:r w:rsidRPr="00392980">
                          <w:rPr>
                            <w:rFonts w:ascii="Verdana" w:eastAsia="Times New Roman" w:hAnsi="Verdana" w:cs="Times New Roman"/>
                            <w:sz w:val="20"/>
                            <w:szCs w:val="20"/>
                            <w:lang w:eastAsia="it-IT"/>
                          </w:rPr>
                          <w:t xml:space="preserve"> McKechnie J. This, indeed, was one of the reasons why McKechnie J. rejected Article 40.1 arguments advanced by the applicant in that case regarding the more limited rights of appeal afforded to a respondent in EAW proceedings as distinct from the right of appeal afforded to persons facing extradition requests under the Extradition Act 1965 (“the 1965 Act”). McKechnie J. took the view that the EAW was not a proper comparator and, moreover, “any differences which do exist between the two systems are entirely justified given the ultimate objectives of the EAW Scheme under the Framework Decision.”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62. While fully accepting the differences as articulated by McKechnie J. in </w:t>
                        </w:r>
                        <w:r w:rsidRPr="00392980">
                          <w:rPr>
                            <w:rFonts w:ascii="Verdana" w:eastAsia="Times New Roman" w:hAnsi="Verdana" w:cs="Times New Roman"/>
                            <w:i/>
                            <w:iCs/>
                            <w:sz w:val="20"/>
                            <w:szCs w:val="20"/>
                            <w:lang w:eastAsia="it-IT"/>
                          </w:rPr>
                          <w:t>O’Sullivan</w:t>
                        </w:r>
                        <w:r w:rsidRPr="00392980">
                          <w:rPr>
                            <w:rFonts w:ascii="Verdana" w:eastAsia="Times New Roman" w:hAnsi="Verdana" w:cs="Times New Roman"/>
                            <w:sz w:val="20"/>
                            <w:szCs w:val="20"/>
                            <w:lang w:eastAsia="it-IT"/>
                          </w:rPr>
                          <w:t xml:space="preserve"> between surrender under the EAW procedure as compared with the extradition arrangements contained in the 1965 Act, I do not think that these differences are dispositive so far as the equality issue presented in this case is concerned. It is one thing for the Oireachtas to prescribe different appellate procedures in the case of surrender applications under the 2003 Act as compared with extradition under the 1965 Act. It is quite another to have starkly different arrangements regarding the legal aid entitlements of persons who, depending on their circumstances, are facing either trial in the State or surrender under the 2003 Act or the 2006 Act or extradition under the 1965 Act. The legal aid entitlements of the accused persons or the persons facing surrender goes to the substance of the entire fairness of the relevant legal procedures and these arrangements have considerable implications for personal liberty.</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63. No similar objective justification has really been advanced in the present case for this differing treatment. It is, frankly, difficult to see why a statutory scheme has been put in place for one group of persons facing criminal trial either at home (under the 1962 Act) or surrender abroad to the International Criminal Court (under the 2006 Act), while at the same </w:t>
                        </w:r>
                        <w:r w:rsidRPr="00392980">
                          <w:rPr>
                            <w:rFonts w:ascii="Verdana" w:eastAsia="Times New Roman" w:hAnsi="Verdana" w:cs="Times New Roman"/>
                            <w:sz w:val="20"/>
                            <w:szCs w:val="20"/>
                            <w:lang w:eastAsia="it-IT"/>
                          </w:rPr>
                          <w:lastRenderedPageBreak/>
                          <w:t>time another group facing surrender under the 2003 Act are required to be content with an administrative scheme. While as injustices caused by unfair differentiation go, the practical impact of this differentiation is probably modest, even if it is nonetheless real in some cases. Specifically, the difference rests between an enforceable legal right based on clear criteria contained in statute on the one hand and something slightly less than that contained in an administrative scheme. It is nevertheless telling that the Scheme does not contain firm financial guidelines regarding eligibility and the final decision as to whether a recommendation will be made comes only at the end - and not at the start - of what may be a hugely complex High Court hearing lasting several days and may depend on the application of essentially subjective factors made by the individual judge.</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64. Nor can it be satisfactory that the actual </w:t>
                        </w:r>
                        <w:r w:rsidRPr="00392980">
                          <w:rPr>
                            <w:rFonts w:ascii="Verdana" w:eastAsia="Times New Roman" w:hAnsi="Verdana" w:cs="Times New Roman"/>
                            <w:i/>
                            <w:iCs/>
                            <w:sz w:val="20"/>
                            <w:szCs w:val="20"/>
                            <w:lang w:eastAsia="it-IT"/>
                          </w:rPr>
                          <w:t>operation</w:t>
                        </w:r>
                        <w:r w:rsidRPr="00392980">
                          <w:rPr>
                            <w:rFonts w:ascii="Verdana" w:eastAsia="Times New Roman" w:hAnsi="Verdana" w:cs="Times New Roman"/>
                            <w:sz w:val="20"/>
                            <w:szCs w:val="20"/>
                            <w:lang w:eastAsia="it-IT"/>
                          </w:rPr>
                          <w:t xml:space="preserve"> of the Scheme rests on assurances given by public servants given in the course of litigation as distinct from the actual wording of the Scheme itself. It is true that such a commitment given publicly in this fashion - and recorded in the Supreme Court judgment in </w:t>
                        </w:r>
                        <w:r w:rsidRPr="00392980">
                          <w:rPr>
                            <w:rFonts w:ascii="Verdana" w:eastAsia="Times New Roman" w:hAnsi="Verdana" w:cs="Times New Roman"/>
                            <w:i/>
                            <w:iCs/>
                            <w:sz w:val="20"/>
                            <w:szCs w:val="20"/>
                            <w:lang w:eastAsia="it-IT"/>
                          </w:rPr>
                          <w:t>Olsson</w:t>
                        </w:r>
                        <w:r w:rsidRPr="00392980">
                          <w:rPr>
                            <w:rFonts w:ascii="Verdana" w:eastAsia="Times New Roman" w:hAnsi="Verdana" w:cs="Times New Roman"/>
                            <w:sz w:val="20"/>
                            <w:szCs w:val="20"/>
                            <w:lang w:eastAsia="it-IT"/>
                          </w:rPr>
                          <w:t xml:space="preserve"> - very probably gives rise to a legitimate expectation which could be positively enforced in litigation. Yet, as the case-law on legitimate expectations itself shows (see, </w:t>
                        </w:r>
                        <w:r w:rsidRPr="00392980">
                          <w:rPr>
                            <w:rFonts w:ascii="Verdana" w:eastAsia="Times New Roman" w:hAnsi="Verdana" w:cs="Times New Roman"/>
                            <w:i/>
                            <w:iCs/>
                            <w:sz w:val="20"/>
                            <w:szCs w:val="20"/>
                            <w:lang w:eastAsia="it-IT"/>
                          </w:rPr>
                          <w:t>e.g., Curran v. Minister for Education and Science</w:t>
                        </w:r>
                        <w:r w:rsidRPr="00392980">
                          <w:rPr>
                            <w:rFonts w:ascii="Verdana" w:eastAsia="Times New Roman" w:hAnsi="Verdana" w:cs="Times New Roman"/>
                            <w:sz w:val="20"/>
                            <w:szCs w:val="20"/>
                            <w:lang w:eastAsia="it-IT"/>
                          </w:rPr>
                          <w:t xml:space="preserve"> [2009] IEHC 378, [2009] 4 I.R. 300), the State’s capacity to escape from the constraints of a formal promise or invariable practice of this nature is somewhat greater than if the commitment were to be embodied in legislation which can only be altered or amended by the Oireachtas.</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65. The differences between the statutory and the non-statutory arrangements accordingly cannot be dismissed as being purely theoretical, even if they are likely to be modest in practice. In these circumstances there is nevertheless, to adopt the language of Henchy J. in the extradition case of </w:t>
                        </w:r>
                        <w:r w:rsidRPr="00392980">
                          <w:rPr>
                            <w:rFonts w:ascii="Verdana" w:eastAsia="Times New Roman" w:hAnsi="Verdana" w:cs="Times New Roman"/>
                            <w:i/>
                            <w:iCs/>
                            <w:sz w:val="20"/>
                            <w:szCs w:val="20"/>
                            <w:lang w:eastAsia="it-IT"/>
                          </w:rPr>
                          <w:t>McMahon v. Leahy</w:t>
                        </w:r>
                        <w:r w:rsidRPr="00392980">
                          <w:rPr>
                            <w:rFonts w:ascii="Verdana" w:eastAsia="Times New Roman" w:hAnsi="Verdana" w:cs="Times New Roman"/>
                            <w:sz w:val="20"/>
                            <w:szCs w:val="20"/>
                            <w:lang w:eastAsia="it-IT"/>
                          </w:rPr>
                          <w:t xml:space="preserve"> [1984] I.R. 525, 541, an “unequal treatment…of citizens who, as human beings, are in equal condition in the context of the law involved.” Moreover, irrespective of whether such arrangements are classified as either extradition or surrender, the substance of the matter is that a person facing surrender under the 2003 Act has, objectively speaking, the same need for legal aid as if he were facing trial on similar charges in the State or facing surrender under the 2006 Act.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66. In these circumstances the conclusion that the fundamental precept of equality before the law contained in Article 40.1 has been breached is accordingly unavoidable.</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b/>
                            <w:bCs/>
                            <w:sz w:val="20"/>
                            <w:szCs w:val="20"/>
                            <w:lang w:eastAsia="it-IT"/>
                          </w:rPr>
                          <w:t>To what remedy is the appellant entitled in respect of this breach of Article 40.1?</w:t>
                        </w:r>
                        <w:r w:rsidRPr="00392980">
                          <w:rPr>
                            <w:rFonts w:ascii="Times New Roman" w:eastAsia="Times New Roman" w:hAnsi="Times New Roman" w:cs="Times New Roman"/>
                            <w:sz w:val="24"/>
                            <w:szCs w:val="24"/>
                            <w:lang w:eastAsia="it-IT"/>
                          </w:rPr>
                          <w:br/>
                        </w:r>
                        <w:r w:rsidRPr="00392980">
                          <w:rPr>
                            <w:rFonts w:ascii="Verdana" w:eastAsia="Times New Roman" w:hAnsi="Verdana" w:cs="Times New Roman"/>
                            <w:sz w:val="20"/>
                            <w:szCs w:val="20"/>
                            <w:lang w:eastAsia="it-IT"/>
                          </w:rPr>
                          <w:t xml:space="preserve">67. In the plenary proceedings the plaintiff has claimed a declaration that the 2003 Act is unconstitutional “insofar as the European Arrest Warrant Act 2003 (as amended) does not provide for the type of legal aid being contended for.” Accordingly, therefore, the real source of complaint is not so much what the 2003 Act contains but rather in respect of what it </w:t>
                        </w:r>
                        <w:r w:rsidRPr="00392980">
                          <w:rPr>
                            <w:rFonts w:ascii="Verdana" w:eastAsia="Times New Roman" w:hAnsi="Verdana" w:cs="Times New Roman"/>
                            <w:i/>
                            <w:iCs/>
                            <w:sz w:val="20"/>
                            <w:szCs w:val="20"/>
                            <w:lang w:eastAsia="it-IT"/>
                          </w:rPr>
                          <w:t>does not contain</w:t>
                        </w:r>
                        <w:r w:rsidRPr="00392980">
                          <w:rPr>
                            <w:rFonts w:ascii="Verdana" w:eastAsia="Times New Roman" w:hAnsi="Verdana" w:cs="Times New Roman"/>
                            <w:sz w:val="20"/>
                            <w:szCs w:val="20"/>
                            <w:lang w:eastAsia="it-IT"/>
                          </w:rPr>
                          <w:t xml:space="preserve">. The finding of unconstitutionality in respect of both Article 40.1 relates to a </w:t>
                        </w:r>
                        <w:r w:rsidRPr="00392980">
                          <w:rPr>
                            <w:rFonts w:ascii="Verdana" w:eastAsia="Times New Roman" w:hAnsi="Verdana" w:cs="Times New Roman"/>
                            <w:i/>
                            <w:iCs/>
                            <w:sz w:val="20"/>
                            <w:szCs w:val="20"/>
                            <w:lang w:eastAsia="it-IT"/>
                          </w:rPr>
                          <w:t>legislative failure</w:t>
                        </w:r>
                        <w:r w:rsidRPr="00392980">
                          <w:rPr>
                            <w:rFonts w:ascii="Verdana" w:eastAsia="Times New Roman" w:hAnsi="Verdana" w:cs="Times New Roman"/>
                            <w:sz w:val="20"/>
                            <w:szCs w:val="20"/>
                            <w:lang w:eastAsia="it-IT"/>
                          </w:rPr>
                          <w:t xml:space="preserve"> to provide for a statutory scheme of legal aid having so provided in the case of other comparably situated persons. This is the substance of the plaintiff’s constitutional challenge.</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lastRenderedPageBreak/>
                          <w:t xml:space="preserve">68. In these circumstances, given that the identified unconstitutionality relates to a legislative lacuna, an order declaring the 2003 Act to be unconstitutional would be inappropriate. Just as I observed in the High Court in </w:t>
                        </w:r>
                        <w:r w:rsidRPr="00392980">
                          <w:rPr>
                            <w:rFonts w:ascii="Verdana" w:eastAsia="Times New Roman" w:hAnsi="Verdana" w:cs="Times New Roman"/>
                            <w:i/>
                            <w:iCs/>
                            <w:sz w:val="20"/>
                            <w:szCs w:val="20"/>
                            <w:lang w:eastAsia="it-IT"/>
                          </w:rPr>
                          <w:t>BG v. Ireland (No.2)</w:t>
                        </w:r>
                        <w:r w:rsidRPr="00392980">
                          <w:rPr>
                            <w:rFonts w:ascii="Verdana" w:eastAsia="Times New Roman" w:hAnsi="Verdana" w:cs="Times New Roman"/>
                            <w:sz w:val="20"/>
                            <w:szCs w:val="20"/>
                            <w:lang w:eastAsia="it-IT"/>
                          </w:rPr>
                          <w:t xml:space="preserve"> </w:t>
                        </w:r>
                        <w:hyperlink r:id="rId29" w:tooltip="Link to BAILII version" w:history="1">
                          <w:r w:rsidRPr="00392980">
                            <w:rPr>
                              <w:rFonts w:ascii="Verdana" w:eastAsia="Times New Roman" w:hAnsi="Verdana" w:cs="Times New Roman"/>
                              <w:color w:val="0000FF"/>
                              <w:sz w:val="20"/>
                              <w:szCs w:val="20"/>
                              <w:u w:val="single"/>
                              <w:lang w:eastAsia="it-IT"/>
                            </w:rPr>
                            <w:t>[2011] IEHC 445</w:t>
                          </w:r>
                        </w:hyperlink>
                        <w:r w:rsidRPr="00392980">
                          <w:rPr>
                            <w:rFonts w:ascii="Verdana" w:eastAsia="Times New Roman" w:hAnsi="Verdana" w:cs="Times New Roman"/>
                            <w:sz w:val="20"/>
                            <w:szCs w:val="20"/>
                            <w:lang w:eastAsia="it-IT"/>
                          </w:rPr>
                          <w:t xml:space="preserve">, </w:t>
                        </w:r>
                        <w:hyperlink r:id="rId30" w:tooltip="Link to BAILII version" w:history="1">
                          <w:r w:rsidRPr="00392980">
                            <w:rPr>
                              <w:rFonts w:ascii="Verdana" w:eastAsia="Times New Roman" w:hAnsi="Verdana" w:cs="Times New Roman"/>
                              <w:color w:val="0000FF"/>
                              <w:sz w:val="20"/>
                              <w:szCs w:val="20"/>
                              <w:u w:val="single"/>
                              <w:lang w:eastAsia="it-IT"/>
                            </w:rPr>
                            <w:t>[2011] 3 I.R. 748</w:t>
                          </w:r>
                        </w:hyperlink>
                        <w:r w:rsidRPr="00392980">
                          <w:rPr>
                            <w:rFonts w:ascii="Verdana" w:eastAsia="Times New Roman" w:hAnsi="Verdana" w:cs="Times New Roman"/>
                            <w:sz w:val="20"/>
                            <w:szCs w:val="20"/>
                            <w:lang w:eastAsia="it-IT"/>
                          </w:rPr>
                          <w:t xml:space="preserve">,767 (where a similar unconstitutional lacuna had come to light), a finding of unconstitutionality would serve no real purpose in the present case “other than a Samson-like collapsing of the legislative pillars which gave rise to the unconstitutionality in the first instance.” At the same time, this Court must fashion an effective remedy to address the legislative lacuna if it is to be faithful to the constitutional command contained in Article 40.3.1 to "defend and vindicate the personal rights of the citizen", so far as it is practicable to do so. It is in these particular circumstances that the court "will feel obliged to fashion its own remedy": see </w:t>
                        </w:r>
                        <w:r w:rsidRPr="00392980">
                          <w:rPr>
                            <w:rFonts w:ascii="Verdana" w:eastAsia="Times New Roman" w:hAnsi="Verdana" w:cs="Times New Roman"/>
                            <w:i/>
                            <w:iCs/>
                            <w:sz w:val="20"/>
                            <w:szCs w:val="20"/>
                            <w:lang w:eastAsia="it-IT"/>
                          </w:rPr>
                          <w:t>McDonnell v. Ireland</w:t>
                        </w:r>
                        <w:r w:rsidRPr="00392980">
                          <w:rPr>
                            <w:rFonts w:ascii="Verdana" w:eastAsia="Times New Roman" w:hAnsi="Verdana" w:cs="Times New Roman"/>
                            <w:sz w:val="20"/>
                            <w:szCs w:val="20"/>
                            <w:lang w:eastAsia="it-IT"/>
                          </w:rPr>
                          <w:t xml:space="preserve"> [1998] 1 I.R. 134, 148, </w:t>
                        </w:r>
                        <w:r w:rsidRPr="00392980">
                          <w:rPr>
                            <w:rFonts w:ascii="Verdana" w:eastAsia="Times New Roman" w:hAnsi="Verdana" w:cs="Times New Roman"/>
                            <w:i/>
                            <w:iCs/>
                            <w:sz w:val="20"/>
                            <w:szCs w:val="20"/>
                            <w:lang w:eastAsia="it-IT"/>
                          </w:rPr>
                          <w:t>per</w:t>
                        </w:r>
                        <w:r w:rsidRPr="00392980">
                          <w:rPr>
                            <w:rFonts w:ascii="Verdana" w:eastAsia="Times New Roman" w:hAnsi="Verdana" w:cs="Times New Roman"/>
                            <w:sz w:val="20"/>
                            <w:szCs w:val="20"/>
                            <w:lang w:eastAsia="it-IT"/>
                          </w:rPr>
                          <w:t xml:space="preserve"> Barrington J.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69. Similar views were expressed by Murray C.J. in </w:t>
                        </w:r>
                        <w:r w:rsidRPr="00392980">
                          <w:rPr>
                            <w:rFonts w:ascii="Verdana" w:eastAsia="Times New Roman" w:hAnsi="Verdana" w:cs="Times New Roman"/>
                            <w:i/>
                            <w:iCs/>
                            <w:sz w:val="20"/>
                            <w:szCs w:val="20"/>
                            <w:lang w:eastAsia="it-IT"/>
                          </w:rPr>
                          <w:t>Carmody v. Minister for Justice</w:t>
                        </w:r>
                        <w:r w:rsidRPr="00392980">
                          <w:rPr>
                            <w:rFonts w:ascii="Verdana" w:eastAsia="Times New Roman" w:hAnsi="Verdana" w:cs="Times New Roman"/>
                            <w:sz w:val="20"/>
                            <w:szCs w:val="20"/>
                            <w:lang w:eastAsia="it-IT"/>
                          </w:rPr>
                          <w:t xml:space="preserve"> </w:t>
                        </w:r>
                        <w:hyperlink r:id="rId31" w:tooltip="Link to BAILII version" w:history="1">
                          <w:r w:rsidRPr="00392980">
                            <w:rPr>
                              <w:rFonts w:ascii="Verdana" w:eastAsia="Times New Roman" w:hAnsi="Verdana" w:cs="Times New Roman"/>
                              <w:color w:val="0000FF"/>
                              <w:sz w:val="20"/>
                              <w:szCs w:val="20"/>
                              <w:u w:val="single"/>
                              <w:lang w:eastAsia="it-IT"/>
                            </w:rPr>
                            <w:t>[2009] IESC 71</w:t>
                          </w:r>
                        </w:hyperlink>
                        <w:r w:rsidRPr="00392980">
                          <w:rPr>
                            <w:rFonts w:ascii="Verdana" w:eastAsia="Times New Roman" w:hAnsi="Verdana" w:cs="Times New Roman"/>
                            <w:sz w:val="20"/>
                            <w:szCs w:val="20"/>
                            <w:lang w:eastAsia="it-IT"/>
                          </w:rPr>
                          <w:t xml:space="preserve">, </w:t>
                        </w:r>
                        <w:hyperlink r:id="rId32" w:tooltip="Link to BAILII version" w:history="1">
                          <w:r w:rsidRPr="00392980">
                            <w:rPr>
                              <w:rFonts w:ascii="Verdana" w:eastAsia="Times New Roman" w:hAnsi="Verdana" w:cs="Times New Roman"/>
                              <w:color w:val="0000FF"/>
                              <w:sz w:val="20"/>
                              <w:szCs w:val="20"/>
                              <w:u w:val="single"/>
                              <w:lang w:eastAsia="it-IT"/>
                            </w:rPr>
                            <w:t>[2010] 1 I.R. 635</w:t>
                          </w:r>
                        </w:hyperlink>
                        <w:r w:rsidRPr="00392980">
                          <w:rPr>
                            <w:rFonts w:ascii="Verdana" w:eastAsia="Times New Roman" w:hAnsi="Verdana" w:cs="Times New Roman"/>
                            <w:sz w:val="20"/>
                            <w:szCs w:val="20"/>
                            <w:lang w:eastAsia="it-IT"/>
                          </w:rPr>
                          <w:t xml:space="preserve">, 668 - where an unconstitutional legislative lacuna of this kind has been identified- to the effect that in this type of case the court enjoys a constitutional jurisdiction "to grant such remedy as it considers necessary to vindicate the right concerned." In that case the applicant contended that the fact that he had no right to apply for criminal legal aid in a District Court trial which would provide him with representation by counsel as well as a solicitor and therefore no right to be granted such legal aid where the essential interests of justice so require. The Supreme Court held while that the Criminal Justice (Legal Aid) Act 1962 was not unconstitutional, the failure to make provision in suitable cases for the present of counsel at a criminal trial was, objectively, a breach of the accused's entitlement under Article 38.1 to trial in due course of law. Viewed thus, </w:t>
                        </w:r>
                        <w:r w:rsidRPr="00392980">
                          <w:rPr>
                            <w:rFonts w:ascii="Verdana" w:eastAsia="Times New Roman" w:hAnsi="Verdana" w:cs="Times New Roman"/>
                            <w:i/>
                            <w:iCs/>
                            <w:sz w:val="20"/>
                            <w:szCs w:val="20"/>
                            <w:lang w:eastAsia="it-IT"/>
                          </w:rPr>
                          <w:t>Carmody</w:t>
                        </w:r>
                        <w:r w:rsidRPr="00392980">
                          <w:rPr>
                            <w:rFonts w:ascii="Verdana" w:eastAsia="Times New Roman" w:hAnsi="Verdana" w:cs="Times New Roman"/>
                            <w:sz w:val="20"/>
                            <w:szCs w:val="20"/>
                            <w:lang w:eastAsia="it-IT"/>
                          </w:rPr>
                          <w:t xml:space="preserve"> is really a classic example of an unconstitutional lacuna where the invalidation of the underlying legislation is neither an appropriate or a necessary remedy.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70. What, then, should the remedy in the present case actually be? I confess that I have not found it easy to arrive at an entirely satisfactory solution. In </w:t>
                        </w:r>
                        <w:r w:rsidRPr="00392980">
                          <w:rPr>
                            <w:rFonts w:ascii="Verdana" w:eastAsia="Times New Roman" w:hAnsi="Verdana" w:cs="Times New Roman"/>
                            <w:i/>
                            <w:iCs/>
                            <w:sz w:val="20"/>
                            <w:szCs w:val="20"/>
                            <w:lang w:eastAsia="it-IT"/>
                          </w:rPr>
                          <w:t>Carmody</w:t>
                        </w:r>
                        <w:r w:rsidRPr="00392980">
                          <w:rPr>
                            <w:rFonts w:ascii="Verdana" w:eastAsia="Times New Roman" w:hAnsi="Verdana" w:cs="Times New Roman"/>
                            <w:sz w:val="20"/>
                            <w:szCs w:val="20"/>
                            <w:lang w:eastAsia="it-IT"/>
                          </w:rPr>
                          <w:t xml:space="preserve"> Murray C.J. stated that (</w:t>
                        </w:r>
                        <w:hyperlink r:id="rId33" w:tooltip="Link to BAILII version" w:history="1">
                          <w:r w:rsidRPr="00392980">
                            <w:rPr>
                              <w:rFonts w:ascii="Verdana" w:eastAsia="Times New Roman" w:hAnsi="Verdana" w:cs="Times New Roman"/>
                              <w:color w:val="0000FF"/>
                              <w:sz w:val="20"/>
                              <w:szCs w:val="20"/>
                              <w:u w:val="single"/>
                              <w:lang w:eastAsia="it-IT"/>
                            </w:rPr>
                            <w:t>[2010] 1 I.R. 635</w:t>
                          </w:r>
                        </w:hyperlink>
                        <w:r w:rsidRPr="00392980">
                          <w:rPr>
                            <w:rFonts w:ascii="Verdana" w:eastAsia="Times New Roman" w:hAnsi="Verdana" w:cs="Times New Roman"/>
                            <w:sz w:val="20"/>
                            <w:szCs w:val="20"/>
                            <w:lang w:eastAsia="it-IT"/>
                          </w:rPr>
                          <w:t>, 669):</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after="0"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 it would be unjust and contrary to the appellant’s right to a trial “in due course of law” as required by Article 38.1 of the Constitution if the prosecution of the charges brought against him were allowed to proceed while he is denied the right to apply for legal aid to include solicitor and counsel and have that application determined on its merits. To allow a trial to proceed without any possibility of determining whether it was essential to a fair hearing that the defendant be represented by solicitor and counsel would be, in the words of O’Higgins C.J., in the </w:t>
                        </w:r>
                        <w:r w:rsidRPr="00392980">
                          <w:rPr>
                            <w:rFonts w:ascii="Verdana" w:eastAsia="Times New Roman" w:hAnsi="Verdana" w:cs="Times New Roman"/>
                            <w:i/>
                            <w:iCs/>
                            <w:sz w:val="20"/>
                            <w:szCs w:val="20"/>
                            <w:lang w:eastAsia="it-IT"/>
                          </w:rPr>
                          <w:t>Healy</w:t>
                        </w:r>
                        <w:r w:rsidRPr="00392980">
                          <w:rPr>
                            <w:rFonts w:ascii="Verdana" w:eastAsia="Times New Roman" w:hAnsi="Verdana" w:cs="Times New Roman"/>
                            <w:sz w:val="20"/>
                            <w:szCs w:val="20"/>
                            <w:lang w:eastAsia="it-IT"/>
                          </w:rPr>
                          <w:t xml:space="preserve"> case, ‘to tolerate injustice’”.</w:t>
                        </w:r>
                      </w:p>
                      <w:p w:rsidR="00392980" w:rsidRPr="00392980" w:rsidRDefault="00392980" w:rsidP="00392980">
                        <w:pPr>
                          <w:spacing w:after="0"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71. It seems to me, however, that the potential injustice disclosed in </w:t>
                        </w:r>
                        <w:r w:rsidRPr="00392980">
                          <w:rPr>
                            <w:rFonts w:ascii="Verdana" w:eastAsia="Times New Roman" w:hAnsi="Verdana" w:cs="Times New Roman"/>
                            <w:i/>
                            <w:iCs/>
                            <w:sz w:val="20"/>
                            <w:szCs w:val="20"/>
                            <w:lang w:eastAsia="it-IT"/>
                          </w:rPr>
                          <w:t>Carmody</w:t>
                        </w:r>
                        <w:r w:rsidRPr="00392980">
                          <w:rPr>
                            <w:rFonts w:ascii="Verdana" w:eastAsia="Times New Roman" w:hAnsi="Verdana" w:cs="Times New Roman"/>
                            <w:sz w:val="20"/>
                            <w:szCs w:val="20"/>
                            <w:lang w:eastAsia="it-IT"/>
                          </w:rPr>
                          <w:t xml:space="preserve"> was more acute, real and immediate than in the present case. While it is clear from </w:t>
                        </w:r>
                        <w:r w:rsidRPr="00392980">
                          <w:rPr>
                            <w:rFonts w:ascii="Verdana" w:eastAsia="Times New Roman" w:hAnsi="Verdana" w:cs="Times New Roman"/>
                            <w:i/>
                            <w:iCs/>
                            <w:sz w:val="20"/>
                            <w:szCs w:val="20"/>
                            <w:lang w:eastAsia="it-IT"/>
                          </w:rPr>
                          <w:t>Carmody</w:t>
                        </w:r>
                        <w:r w:rsidRPr="00392980">
                          <w:rPr>
                            <w:rFonts w:ascii="Verdana" w:eastAsia="Times New Roman" w:hAnsi="Verdana" w:cs="Times New Roman"/>
                            <w:sz w:val="20"/>
                            <w:szCs w:val="20"/>
                            <w:lang w:eastAsia="it-IT"/>
                          </w:rPr>
                          <w:t xml:space="preserve"> that the remedy must be appropriate and effective to address the unconstitutional lacuna, the parallel remedy suggested in this case - restraining the surrender of the accused pending the enactment by the Oireachtas of the appropriate legislation - would have a disproportionate effect on the smooth operation of the European Arrest Warrant system which could scarcely be warranted having regard to the facts of this case. As I have already pointed out, while the effect of </w:t>
                        </w:r>
                        <w:r w:rsidRPr="00392980">
                          <w:rPr>
                            <w:rFonts w:ascii="Verdana" w:eastAsia="Times New Roman" w:hAnsi="Verdana" w:cs="Times New Roman"/>
                            <w:sz w:val="20"/>
                            <w:szCs w:val="20"/>
                            <w:lang w:eastAsia="it-IT"/>
                          </w:rPr>
                          <w:lastRenderedPageBreak/>
                          <w:t>the unconstitutional discrimination is real, the practical disadvantages of this lacuna so far as this plaintiff are probably relatively modest.</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72. In these circumstances, I consider that it suffices, for present purposes, simply to grant a declaration that the failure on the part of the Oireachtas to ensure that persons facing surrender requests under the 2003 Act have the same rights by law to legal aid as they would if facing trial on indictment in this State for corresponding offences amounts to a breach of Article 40.1. It is not necessary at this stage to go any further and, specifically, any remedy which involved at this point granting an order restraining the surrender of the plaintiff on foot of the EAW request would represent a disproportionate interference with the operation of the 2003 Act and would tend to undermine the mutual trust and goodwill which are inherent in the European Arrest Warrant procedure.</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b/>
                            <w:bCs/>
                            <w:sz w:val="20"/>
                            <w:szCs w:val="20"/>
                            <w:lang w:eastAsia="it-IT"/>
                          </w:rPr>
                          <w:t>Conclusions</w:t>
                        </w:r>
                        <w:r w:rsidRPr="00392980">
                          <w:rPr>
                            <w:rFonts w:ascii="Times New Roman" w:eastAsia="Times New Roman" w:hAnsi="Times New Roman" w:cs="Times New Roman"/>
                            <w:sz w:val="24"/>
                            <w:szCs w:val="24"/>
                            <w:lang w:eastAsia="it-IT"/>
                          </w:rPr>
                          <w:br/>
                        </w:r>
                        <w:r w:rsidRPr="00392980">
                          <w:rPr>
                            <w:rFonts w:ascii="Verdana" w:eastAsia="Times New Roman" w:hAnsi="Verdana" w:cs="Times New Roman"/>
                            <w:sz w:val="20"/>
                            <w:szCs w:val="20"/>
                            <w:lang w:eastAsia="it-IT"/>
                          </w:rPr>
                          <w:t xml:space="preserve">73. In summary, therefore, I would hold as follows: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74. This Court is bound by the decision of the Supreme Court in </w:t>
                        </w:r>
                        <w:r w:rsidRPr="00392980">
                          <w:rPr>
                            <w:rFonts w:ascii="Verdana" w:eastAsia="Times New Roman" w:hAnsi="Verdana" w:cs="Times New Roman"/>
                            <w:i/>
                            <w:iCs/>
                            <w:sz w:val="20"/>
                            <w:szCs w:val="20"/>
                            <w:lang w:eastAsia="it-IT"/>
                          </w:rPr>
                          <w:t xml:space="preserve">Olsson </w:t>
                        </w:r>
                        <w:r w:rsidRPr="00392980">
                          <w:rPr>
                            <w:rFonts w:ascii="Verdana" w:eastAsia="Times New Roman" w:hAnsi="Verdana" w:cs="Times New Roman"/>
                            <w:sz w:val="20"/>
                            <w:szCs w:val="20"/>
                            <w:lang w:eastAsia="it-IT"/>
                          </w:rPr>
                          <w:t xml:space="preserve">to hold that the right to legal assistance provided for in Article 11(2) of the Framework Decision refers only to the right to legal representation and not to legal aid as such.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75. So far as the plenary proceedings are concerned, I am of the view that the failure to provide persons facing surrender under the 2003 Act with the same legal entitlements to legal aid as would obtain if they were facing trial on indictment in this State or facing surrender to the International Criminal Court under the 2006 Act amounts to a clear breach of the guarantee of equality before the law in Article 40.1.</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76. In the light of the Supreme Court’s decision in </w:t>
                        </w:r>
                        <w:r w:rsidRPr="00392980">
                          <w:rPr>
                            <w:rFonts w:ascii="Verdana" w:eastAsia="Times New Roman" w:hAnsi="Verdana" w:cs="Times New Roman"/>
                            <w:i/>
                            <w:iCs/>
                            <w:sz w:val="20"/>
                            <w:szCs w:val="20"/>
                            <w:lang w:eastAsia="it-IT"/>
                          </w:rPr>
                          <w:t>Carmody</w:t>
                        </w:r>
                        <w:r w:rsidRPr="00392980">
                          <w:rPr>
                            <w:rFonts w:ascii="Verdana" w:eastAsia="Times New Roman" w:hAnsi="Verdana" w:cs="Times New Roman"/>
                            <w:sz w:val="20"/>
                            <w:szCs w:val="20"/>
                            <w:lang w:eastAsia="it-IT"/>
                          </w:rPr>
                          <w:t xml:space="preserve"> it is clear that it falls to this Court to fashion the most appropriate remedy to address this unconstitutional lacuna. In the present case an order restraining the surrender of the accused pending the enactment by the Oireachtas of the appropriate legislation - would have a disproportionate effect on the smooth operation of the European Arrest Warrant system which could scarcely be warranted having regard to the facts of this case. While the effect of the unconstitutional discrimination is a potentially real one so far as this plaintiff is concerned, the practical disadvantages of this lacuna are nonetheless probably relatively modest. It is, accordingly, simply sufficient to grant a declaration that the failure on the part of the Oireachtas to ensure that persons facing surrender requests under the 2003 Act have the same rights by law to legal aid as they would if facing trial on indictment in this State for corresponding offences amounts to a breach of Article 40.1.</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p>
                      <w:p w:rsidR="00392980" w:rsidRPr="00392980" w:rsidRDefault="00392980" w:rsidP="00392980">
                        <w:pPr>
                          <w:spacing w:after="0" w:line="240" w:lineRule="auto"/>
                          <w:ind w:left="1440"/>
                          <w:rPr>
                            <w:rFonts w:ascii="Times New Roman" w:eastAsia="Times New Roman" w:hAnsi="Times New Roman" w:cs="Times New Roman"/>
                            <w:sz w:val="24"/>
                            <w:szCs w:val="24"/>
                            <w:lang w:eastAsia="it-IT"/>
                          </w:rPr>
                        </w:pPr>
                        <w:bookmarkStart w:id="3" w:name="judge3"/>
                        <w:r w:rsidRPr="00392980">
                          <w:rPr>
                            <w:rFonts w:ascii="Verdana" w:eastAsia="Times New Roman" w:hAnsi="Verdana" w:cs="Times New Roman"/>
                            <w:b/>
                            <w:bCs/>
                            <w:sz w:val="20"/>
                            <w:szCs w:val="20"/>
                            <w:lang w:eastAsia="it-IT"/>
                          </w:rPr>
                          <w:t xml:space="preserve">JUDGMENT of Ms. Justice Irvine delivered on the 23rd day of October, 2015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1. I have read and considered the judgments of the President and Hogan J. on this appeal. Having done so, I gratefully adopt the summary of the factual background to these proceedings set out by Hogan J. at paras. 1 to 11 of his judgment. Likewise I fully agree with the President’s summary of the backdrop to the European Arrest Warrant Act 2003 (“the 2003 Act”) </w:t>
                        </w:r>
                        <w:r w:rsidRPr="00392980">
                          <w:rPr>
                            <w:rFonts w:ascii="Verdana" w:eastAsia="Times New Roman" w:hAnsi="Verdana" w:cs="Times New Roman"/>
                            <w:sz w:val="20"/>
                            <w:szCs w:val="20"/>
                            <w:lang w:eastAsia="it-IT"/>
                          </w:rPr>
                          <w:lastRenderedPageBreak/>
                          <w:t>and in particular his explanation of the Council Framework Decision of 13th June, 2002 (“the Framework Decision”).</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2. Like my colleagues, I too am satisfied that the first issue posed for the Court’s consideration, namely whether Article 11.2 of the Framework Decision imposes an obligation on the requested State to provide legal aid to a person whose surrender is sought under an European Arrest Warrant (“EAW”), was earlier decided by an unanimous Supreme Court in </w:t>
                        </w:r>
                        <w:r w:rsidRPr="00392980">
                          <w:rPr>
                            <w:rFonts w:ascii="Verdana" w:eastAsia="Times New Roman" w:hAnsi="Verdana" w:cs="Times New Roman"/>
                            <w:i/>
                            <w:iCs/>
                            <w:sz w:val="20"/>
                            <w:szCs w:val="20"/>
                            <w:lang w:eastAsia="it-IT"/>
                          </w:rPr>
                          <w:t>Minister for Justice v. Olsson</w:t>
                        </w:r>
                        <w:r w:rsidRPr="00392980">
                          <w:rPr>
                            <w:rFonts w:ascii="Verdana" w:eastAsia="Times New Roman" w:hAnsi="Verdana" w:cs="Times New Roman"/>
                            <w:sz w:val="20"/>
                            <w:szCs w:val="20"/>
                            <w:lang w:eastAsia="it-IT"/>
                          </w:rPr>
                          <w:t xml:space="preserve"> </w:t>
                        </w:r>
                        <w:bookmarkEnd w:id="3"/>
                        <w:r w:rsidRPr="00392980">
                          <w:rPr>
                            <w:rFonts w:ascii="Verdana" w:eastAsia="Times New Roman" w:hAnsi="Verdana" w:cs="Times New Roman"/>
                            <w:sz w:val="20"/>
                            <w:szCs w:val="20"/>
                            <w:lang w:eastAsia="it-IT"/>
                          </w:rPr>
                          <w:fldChar w:fldCharType="begin"/>
                        </w:r>
                        <w:r w:rsidRPr="00392980">
                          <w:rPr>
                            <w:rFonts w:ascii="Verdana" w:eastAsia="Times New Roman" w:hAnsi="Verdana" w:cs="Times New Roman"/>
                            <w:sz w:val="20"/>
                            <w:szCs w:val="20"/>
                            <w:lang w:eastAsia="it-IT"/>
                          </w:rPr>
                          <w:instrText xml:space="preserve"> HYPERLINK "http://www.bailii.org/ie/cases/IESC/2011/S1.html" \o "Link to BAILII version" </w:instrText>
                        </w:r>
                        <w:r w:rsidRPr="00392980">
                          <w:rPr>
                            <w:rFonts w:ascii="Verdana" w:eastAsia="Times New Roman" w:hAnsi="Verdana" w:cs="Times New Roman"/>
                            <w:sz w:val="20"/>
                            <w:szCs w:val="20"/>
                            <w:lang w:eastAsia="it-IT"/>
                          </w:rPr>
                          <w:fldChar w:fldCharType="separate"/>
                        </w:r>
                        <w:r w:rsidRPr="00392980">
                          <w:rPr>
                            <w:rFonts w:ascii="Verdana" w:eastAsia="Times New Roman" w:hAnsi="Verdana" w:cs="Times New Roman"/>
                            <w:color w:val="0000FF"/>
                            <w:sz w:val="20"/>
                            <w:szCs w:val="20"/>
                            <w:u w:val="single"/>
                            <w:lang w:eastAsia="it-IT"/>
                          </w:rPr>
                          <w:t>[2011] 1 I.R. 384</w:t>
                        </w:r>
                        <w:r w:rsidRPr="00392980">
                          <w:rPr>
                            <w:rFonts w:ascii="Verdana" w:eastAsia="Times New Roman" w:hAnsi="Verdana" w:cs="Times New Roman"/>
                            <w:sz w:val="20"/>
                            <w:szCs w:val="20"/>
                            <w:lang w:eastAsia="it-IT"/>
                          </w:rPr>
                          <w:fldChar w:fldCharType="end"/>
                        </w:r>
                        <w:r w:rsidRPr="00392980">
                          <w:rPr>
                            <w:rFonts w:ascii="Verdana" w:eastAsia="Times New Roman" w:hAnsi="Verdana" w:cs="Times New Roman"/>
                            <w:sz w:val="20"/>
                            <w:szCs w:val="20"/>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3. In </w:t>
                        </w:r>
                        <w:r w:rsidRPr="00392980">
                          <w:rPr>
                            <w:rFonts w:ascii="Verdana" w:eastAsia="Times New Roman" w:hAnsi="Verdana" w:cs="Times New Roman"/>
                            <w:i/>
                            <w:iCs/>
                            <w:sz w:val="20"/>
                            <w:szCs w:val="20"/>
                            <w:lang w:eastAsia="it-IT"/>
                          </w:rPr>
                          <w:t>Olsson</w:t>
                        </w:r>
                        <w:r w:rsidRPr="00392980">
                          <w:rPr>
                            <w:rFonts w:ascii="Verdana" w:eastAsia="Times New Roman" w:hAnsi="Verdana" w:cs="Times New Roman"/>
                            <w:sz w:val="20"/>
                            <w:szCs w:val="20"/>
                            <w:lang w:eastAsia="it-IT"/>
                          </w:rPr>
                          <w:t xml:space="preserve">, O’Donnell J. considered the proper interpretation of Article 11.2. He did so having specifically identified the issue to be decided on the appeal which he expressed in the following manner at para. 8 of his judgment:- </w:t>
                        </w:r>
                      </w:p>
                      <w:p w:rsidR="00392980" w:rsidRPr="00392980" w:rsidRDefault="00392980" w:rsidP="00392980">
                        <w:pPr>
                          <w:spacing w:after="0"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“Accordingly, the point argued on this appeal is limited to the contention that the provision of legal assistance under the terms of the Scheme falls short of what is required by law for a person whose return is requested pursuant to a European Arrest Warrant”.</w:t>
                        </w:r>
                      </w:p>
                      <w:p w:rsidR="00392980" w:rsidRPr="00392980" w:rsidRDefault="00392980" w:rsidP="00392980">
                        <w:pPr>
                          <w:spacing w:after="0"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4. He then proceeded to answer that question in light of the submissions of the parties commencing at para. 11 of his judgment. It is unnecessary for the purposes of this judgment to set out the text of that part of his judgment here. Suffice to state that having considered the same I reject as unsustainable the submission made on the appellant’s behalf that this Court could conclude that O’Donnell J.’s analysis of the obligations imposed by the relevant Article might be considered </w:t>
                        </w:r>
                        <w:r w:rsidRPr="00392980">
                          <w:rPr>
                            <w:rFonts w:ascii="Verdana" w:eastAsia="Times New Roman" w:hAnsi="Verdana" w:cs="Times New Roman"/>
                            <w:i/>
                            <w:iCs/>
                            <w:sz w:val="20"/>
                            <w:szCs w:val="20"/>
                            <w:lang w:eastAsia="it-IT"/>
                          </w:rPr>
                          <w:t>obiter</w:t>
                        </w:r>
                        <w:r w:rsidRPr="00392980">
                          <w:rPr>
                            <w:rFonts w:ascii="Verdana" w:eastAsia="Times New Roman" w:hAnsi="Verdana" w:cs="Times New Roman"/>
                            <w:sz w:val="20"/>
                            <w:szCs w:val="20"/>
                            <w:lang w:eastAsia="it-IT"/>
                          </w:rPr>
                          <w:t xml:space="preserve"> to his decision.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5. I also join with my colleagues in their judgment that it would be inappropriate and indeed improper for this Court to seek to overturn or side-step the decision in </w:t>
                        </w:r>
                        <w:r w:rsidRPr="00392980">
                          <w:rPr>
                            <w:rFonts w:ascii="Verdana" w:eastAsia="Times New Roman" w:hAnsi="Verdana" w:cs="Times New Roman"/>
                            <w:i/>
                            <w:iCs/>
                            <w:sz w:val="20"/>
                            <w:szCs w:val="20"/>
                            <w:lang w:eastAsia="it-IT"/>
                          </w:rPr>
                          <w:t>Olsson</w:t>
                        </w:r>
                        <w:r w:rsidRPr="00392980">
                          <w:rPr>
                            <w:rFonts w:ascii="Verdana" w:eastAsia="Times New Roman" w:hAnsi="Verdana" w:cs="Times New Roman"/>
                            <w:sz w:val="20"/>
                            <w:szCs w:val="20"/>
                            <w:lang w:eastAsia="it-IT"/>
                          </w:rPr>
                          <w:t>, which is of course binding on this Court, by making a reference to the Court of Justice of the European Union under Article 267 TFEU. To do so would be inconsistent with the hierarchical structure of our legal system and would also undermine the concept of legal precedent which is of such importance in the context of providing certainty and consistency in the judicial process.</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b/>
                            <w:bCs/>
                            <w:sz w:val="20"/>
                            <w:szCs w:val="20"/>
                            <w:lang w:eastAsia="it-IT"/>
                          </w:rPr>
                          <w:t xml:space="preserve">The Plenary Proceedings. </w:t>
                        </w:r>
                        <w:r w:rsidRPr="00392980">
                          <w:rPr>
                            <w:rFonts w:ascii="Times New Roman" w:eastAsia="Times New Roman" w:hAnsi="Times New Roman" w:cs="Times New Roman"/>
                            <w:sz w:val="24"/>
                            <w:szCs w:val="24"/>
                            <w:lang w:eastAsia="it-IT"/>
                          </w:rPr>
                          <w:br/>
                        </w:r>
                        <w:r w:rsidRPr="00392980">
                          <w:rPr>
                            <w:rFonts w:ascii="Verdana" w:eastAsia="Times New Roman" w:hAnsi="Verdana" w:cs="Times New Roman"/>
                            <w:sz w:val="20"/>
                            <w:szCs w:val="20"/>
                            <w:lang w:eastAsia="it-IT"/>
                          </w:rPr>
                          <w:t xml:space="preserve">6. Having regard to what is stated by Hogan J. at paras. 37 to 47 of his judgment, I am also satisfied that that the constitutional argument based upon Mr O’Connor’s claim that the 2003 Act fails to vindicate his equality rights as guaranteed by Article 40.1 is properly before this Court on appeal. The issue was fully canvassed in the pleadings before the High Court, the defendants engaged with the issue in para. 12 of their defence and the argument rejected by Mr. Justice Edwards, at pps. 54 to 57 inclusive of his judgement.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7. It is the relief which Mr. O’Connor seeks, should the Court rule in his favour, that causes me difficulty. Having claimed a breach of his Article 40.1 rights he claims that “the 2003 Act is unconstitutional to that extent contravening </w:t>
                        </w:r>
                        <w:r w:rsidRPr="00392980">
                          <w:rPr>
                            <w:rFonts w:ascii="Verdana" w:eastAsia="Times New Roman" w:hAnsi="Verdana" w:cs="Times New Roman"/>
                            <w:i/>
                            <w:iCs/>
                            <w:sz w:val="20"/>
                            <w:szCs w:val="20"/>
                            <w:lang w:eastAsia="it-IT"/>
                          </w:rPr>
                          <w:t>inter alia</w:t>
                        </w:r>
                        <w:r w:rsidRPr="00392980">
                          <w:rPr>
                            <w:rFonts w:ascii="Verdana" w:eastAsia="Times New Roman" w:hAnsi="Verdana" w:cs="Times New Roman"/>
                            <w:sz w:val="20"/>
                            <w:szCs w:val="20"/>
                            <w:lang w:eastAsia="it-IT"/>
                          </w:rPr>
                          <w:t xml:space="preserve"> the guarantee in Article 40.1 of equality before the law. As a consequence, his surrender under the EAW is not permitted.” He then claims the following relief:-</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after="0"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“AND THE PLAINTIFF CLAIMS:</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lastRenderedPageBreak/>
                          <w:t>1. A declaration accordingly</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2. Further and other relief</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3. Costs”</w:t>
                        </w:r>
                      </w:p>
                      <w:p w:rsidR="00392980" w:rsidRPr="00392980" w:rsidRDefault="00392980" w:rsidP="00392980">
                        <w:pPr>
                          <w:spacing w:after="0"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8. In other words, Mr. O’Connor seeks to have the Court declare unconstitutional all of the provisions in the 2003 Act as relate to the surrender of persons against whom an EAW has been issued regardless of the fact that, as is referred to by the President in his judgment, he takes no issue with any particular provision of the Act itself in terms of its constitutionality. His real complaint is about a </w:t>
                        </w:r>
                        <w:r w:rsidRPr="00392980">
                          <w:rPr>
                            <w:rFonts w:ascii="Verdana" w:eastAsia="Times New Roman" w:hAnsi="Verdana" w:cs="Times New Roman"/>
                            <w:i/>
                            <w:iCs/>
                            <w:sz w:val="20"/>
                            <w:szCs w:val="20"/>
                            <w:lang w:eastAsia="it-IT"/>
                          </w:rPr>
                          <w:t>lacuna</w:t>
                        </w:r>
                        <w:r w:rsidRPr="00392980">
                          <w:rPr>
                            <w:rFonts w:ascii="Verdana" w:eastAsia="Times New Roman" w:hAnsi="Verdana" w:cs="Times New Roman"/>
                            <w:sz w:val="20"/>
                            <w:szCs w:val="20"/>
                            <w:lang w:eastAsia="it-IT"/>
                          </w:rPr>
                          <w:t xml:space="preserve"> in the legislation in that it does not provide him with a statutory regime for legal aid in the context of his EAW proceedings. While there might in exceptional circumstances be grounds for striking down an Act of the Oireachtas by reason of the absence therefrom of some particularly vital provision, this is, on the facts, certainly not such a case.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9. Notwithstanding the fact that the remedy sought by Mr. O’Connor is one which I would have to refuse even if satisfied as to the correctness of his equality argument, I agree with Hogan J. that it would be wrong to refuse to consider granting Mr. O’Connor the alternative relief of a declaration to the effect that the 2003 Act failed to vindicate his Article 40.1 rights, if satisfied as to the validity of that claim. I do not reach that conclusion lightly in circumstances where it appears that the parties in the High Court did not debate the form of relief that might be available to Mr. O’Connor if he was to only succeed in relation to the constitutional aspect of his claim. However, I am satisfied that such relief could be afforded to Mr. O’Connor without visiting any injustice upon the defendant.</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b/>
                            <w:bCs/>
                            <w:sz w:val="20"/>
                            <w:szCs w:val="20"/>
                            <w:lang w:eastAsia="it-IT"/>
                          </w:rPr>
                          <w:t>Constitutional Argument.</w:t>
                        </w:r>
                        <w:r w:rsidRPr="00392980">
                          <w:rPr>
                            <w:rFonts w:ascii="Times New Roman" w:eastAsia="Times New Roman" w:hAnsi="Times New Roman" w:cs="Times New Roman"/>
                            <w:sz w:val="24"/>
                            <w:szCs w:val="24"/>
                            <w:lang w:eastAsia="it-IT"/>
                          </w:rPr>
                          <w:br/>
                        </w:r>
                        <w:r w:rsidRPr="00392980">
                          <w:rPr>
                            <w:rFonts w:ascii="Verdana" w:eastAsia="Times New Roman" w:hAnsi="Verdana" w:cs="Times New Roman"/>
                            <w:sz w:val="20"/>
                            <w:szCs w:val="20"/>
                            <w:lang w:eastAsia="it-IT"/>
                          </w:rPr>
                          <w:t xml:space="preserve">10. Simply put, the claim Mr. O’Connor makes in his pleadings is that statutory legal aid regimes such as those provided for in the Criminal Justice (Legal Aid) Act 1962 (“the 1962 Act”) and the Civil Legal Aid Act 1995 have been made available to individuals who are in a comparable or less serious position to those the subject matter of EAW proceedings, in terms of what is at stake. He contrasts his position to the individual whose surrender is sought to the International Criminal Court under the International Criminal Court Act 2006 and a person facing relatively modest criminal proceedings in this jurisdiction. Both have an entitlement to a statutory scheme of legal aid whereas none such is available to him although facing a request for his surrender under the 2003 Act. Thus, insofar as their entitlement to be legally aided is concerned, persons whose surrender is requested under the 2003 Act are not treated equally before the law in the manner required by Article 40.1. Their entitlement to legal aid rests upon the operation of what was at the relevant time known as the Attorney General’s Scheme (“the Scheme”), renamed the Legal Aid (Custody Issues) Scheme as of 1st January 2013, which is non-statutory in nature.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11. In the course of legal submission, significant emphasis was placed upon the provisions of s. 23(6) of the International Criminal Court Act 2006 which entitles an individual whose surrender is sought to the International Criminal Court to statutory legal aid under the 1962 Act. In terms of equivalence the position of such an individual could not be distinguished from his own when facing potential surrender under the </w:t>
                        </w:r>
                        <w:r w:rsidRPr="00392980">
                          <w:rPr>
                            <w:rFonts w:ascii="Verdana" w:eastAsia="Times New Roman" w:hAnsi="Verdana" w:cs="Times New Roman"/>
                            <w:sz w:val="20"/>
                            <w:szCs w:val="20"/>
                            <w:lang w:eastAsia="it-IT"/>
                          </w:rPr>
                          <w:lastRenderedPageBreak/>
                          <w:t xml:space="preserve">2003 Act. The Court was urged to consider the disparity in the type of legal aid available to Mr. O’Connor under the 2003 Act and to conclude that the same could not be justified. Accordingly, the guarantee afforded him by Article 40.1 required that he be afforded a scheme of legal aid that is governed and regulated by statute.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12. In the course of the High Court proceedings Mr. Patrick Gilheaney, who was responsible for the administration of the Scheme, gave evidence that the Scheme was of an </w:t>
                        </w:r>
                        <w:r w:rsidRPr="00392980">
                          <w:rPr>
                            <w:rFonts w:ascii="Verdana" w:eastAsia="Times New Roman" w:hAnsi="Verdana" w:cs="Times New Roman"/>
                            <w:i/>
                            <w:iCs/>
                            <w:sz w:val="20"/>
                            <w:szCs w:val="20"/>
                            <w:lang w:eastAsia="it-IT"/>
                          </w:rPr>
                          <w:t>ad hoc</w:t>
                        </w:r>
                        <w:r w:rsidRPr="00392980">
                          <w:rPr>
                            <w:rFonts w:ascii="Verdana" w:eastAsia="Times New Roman" w:hAnsi="Verdana" w:cs="Times New Roman"/>
                            <w:sz w:val="20"/>
                            <w:szCs w:val="20"/>
                            <w:lang w:eastAsia="it-IT"/>
                          </w:rPr>
                          <w:t xml:space="preserve"> nature and applied to all persons arrested under the 2003 Act. He stated that payment under the Scheme was not regarded as discretionary and that once the judge dealing with the matter made a recommendation that payment would be made. As to eligibility thresholds, he advised that there were none such and that it was left to the presiding judge to make an assessment as to whether the individual concerned had sufficient financial means to retain legal counsel. The thrust of his evidence was that all recommendations for legal aid made in EAW cases are automatically honoured. As a matter of practice, when EAW proceedings are first before the court, the lawyer who has accepted instructions indicates to the court that they will be applying for the Scheme at the conclusion of the proceedings and at that point in time the judge invariably makes a recommendation for payment. That being so it must be accepted that it is only at the end of the process that there is absolute certainty as to whether or not those instructed will be paid for the services which they have provided. However, even if perchance the presiding judge were to refuse the necessary recommendation, the individual whose surrender had been sought would have had the benefit of full legal representation and advice from the start to the very end of the legal process. It would be the legal team that would be at a loss.</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b/>
                            <w:bCs/>
                            <w:sz w:val="20"/>
                            <w:szCs w:val="20"/>
                            <w:lang w:eastAsia="it-IT"/>
                          </w:rPr>
                          <w:t>Discussion.</w:t>
                        </w:r>
                        <w:r w:rsidRPr="00392980">
                          <w:rPr>
                            <w:rFonts w:ascii="Times New Roman" w:eastAsia="Times New Roman" w:hAnsi="Times New Roman" w:cs="Times New Roman"/>
                            <w:sz w:val="24"/>
                            <w:szCs w:val="24"/>
                            <w:lang w:eastAsia="it-IT"/>
                          </w:rPr>
                          <w:br/>
                        </w:r>
                        <w:r w:rsidRPr="00392980">
                          <w:rPr>
                            <w:rFonts w:ascii="Verdana" w:eastAsia="Times New Roman" w:hAnsi="Verdana" w:cs="Times New Roman"/>
                            <w:sz w:val="20"/>
                            <w:szCs w:val="20"/>
                            <w:lang w:eastAsia="it-IT"/>
                          </w:rPr>
                          <w:t xml:space="preserve">13. The first matter to observe is that an individual’s right to legal aid, whilst provided for in the Criminal Justice (Legal Aid) Act 1962 does not stem from statute as was advised by Murray C.J. in </w:t>
                        </w:r>
                        <w:r w:rsidRPr="00392980">
                          <w:rPr>
                            <w:rFonts w:ascii="Verdana" w:eastAsia="Times New Roman" w:hAnsi="Verdana" w:cs="Times New Roman"/>
                            <w:i/>
                            <w:iCs/>
                            <w:sz w:val="20"/>
                            <w:szCs w:val="20"/>
                            <w:lang w:eastAsia="it-IT"/>
                          </w:rPr>
                          <w:t>Carmody v. The Minister for Justice</w:t>
                        </w:r>
                        <w:r w:rsidRPr="00392980">
                          <w:rPr>
                            <w:rFonts w:ascii="Verdana" w:eastAsia="Times New Roman" w:hAnsi="Verdana" w:cs="Times New Roman"/>
                            <w:sz w:val="20"/>
                            <w:szCs w:val="20"/>
                            <w:lang w:eastAsia="it-IT"/>
                          </w:rPr>
                          <w:t xml:space="preserve"> </w:t>
                        </w:r>
                        <w:hyperlink r:id="rId34" w:tooltip="Link to BAILII version" w:history="1">
                          <w:r w:rsidRPr="00392980">
                            <w:rPr>
                              <w:rFonts w:ascii="Verdana" w:eastAsia="Times New Roman" w:hAnsi="Verdana" w:cs="Times New Roman"/>
                              <w:color w:val="0000FF"/>
                              <w:sz w:val="20"/>
                              <w:szCs w:val="20"/>
                              <w:u w:val="single"/>
                              <w:lang w:eastAsia="it-IT"/>
                            </w:rPr>
                            <w:t>[2009] IESC 71</w:t>
                          </w:r>
                        </w:hyperlink>
                        <w:r w:rsidRPr="00392980">
                          <w:rPr>
                            <w:rFonts w:ascii="Verdana" w:eastAsia="Times New Roman" w:hAnsi="Verdana" w:cs="Times New Roman"/>
                            <w:sz w:val="20"/>
                            <w:szCs w:val="20"/>
                            <w:lang w:eastAsia="it-IT"/>
                          </w:rPr>
                          <w:t>. At p. 653 he stated the following concerning that right:-</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after="0"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“[63] One of the first matters which the Court made quite clear is that the right to legal aid does not stem from a statute. It is a constitutional right. The Act of 1962, to the extent that it does make provision for legal aid, is merely a means of vindicating that right.” </w:t>
                        </w:r>
                      </w:p>
                      <w:p w:rsidR="00392980" w:rsidRPr="00392980" w:rsidRDefault="00392980" w:rsidP="00392980">
                        <w:pPr>
                          <w:spacing w:after="0"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14. Concerning the right to legal aid, O’Donnell J. in </w:t>
                        </w:r>
                        <w:r w:rsidRPr="00392980">
                          <w:rPr>
                            <w:rFonts w:ascii="Verdana" w:eastAsia="Times New Roman" w:hAnsi="Verdana" w:cs="Times New Roman"/>
                            <w:i/>
                            <w:iCs/>
                            <w:sz w:val="20"/>
                            <w:szCs w:val="20"/>
                            <w:lang w:eastAsia="it-IT"/>
                          </w:rPr>
                          <w:t>Olsson</w:t>
                        </w:r>
                        <w:r w:rsidRPr="00392980">
                          <w:rPr>
                            <w:rFonts w:ascii="Verdana" w:eastAsia="Times New Roman" w:hAnsi="Verdana" w:cs="Times New Roman"/>
                            <w:sz w:val="20"/>
                            <w:szCs w:val="20"/>
                            <w:lang w:eastAsia="it-IT"/>
                          </w:rPr>
                          <w:t xml:space="preserve"> noted:- </w:t>
                        </w:r>
                      </w:p>
                      <w:p w:rsidR="00392980" w:rsidRPr="00392980" w:rsidRDefault="00392980" w:rsidP="00392980">
                        <w:pPr>
                          <w:spacing w:after="0"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“The right to be represented, and if unable to pay for representation to have such representation provided is really an aspect of the right to a trial in due course of law guaranteed by Article 38.1 and the administration of justice required under Article 34.1 of the Constitution. A trial on a serious charge without such legal assistance would fall short of those constitutional standards (see </w:t>
                        </w:r>
                        <w:r w:rsidRPr="00392980">
                          <w:rPr>
                            <w:rFonts w:ascii="Verdana" w:eastAsia="Times New Roman" w:hAnsi="Verdana" w:cs="Times New Roman"/>
                            <w:i/>
                            <w:iCs/>
                            <w:sz w:val="20"/>
                            <w:szCs w:val="20"/>
                            <w:lang w:eastAsia="it-IT"/>
                          </w:rPr>
                          <w:t xml:space="preserve">The State (Healy) v. Donoghue </w:t>
                        </w:r>
                        <w:r w:rsidRPr="00392980">
                          <w:rPr>
                            <w:rFonts w:ascii="Verdana" w:eastAsia="Times New Roman" w:hAnsi="Verdana" w:cs="Times New Roman"/>
                            <w:sz w:val="20"/>
                            <w:szCs w:val="20"/>
                            <w:lang w:eastAsia="it-IT"/>
                          </w:rPr>
                          <w:t xml:space="preserve">[1976] I.R. 325). The Constitution focuses on the fairness of the trial, not on the precise manner in which any representation is made available.” </w:t>
                        </w:r>
                      </w:p>
                      <w:p w:rsidR="00392980" w:rsidRPr="00392980" w:rsidRDefault="00392980" w:rsidP="00392980">
                        <w:pPr>
                          <w:spacing w:after="0"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15. Henchy J. at p. 353 of that judgment described the constitutional obligation to provide free legal advice and representation in criminal cases in the following manner:-</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after="0"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“When the Constitution states that “no person shall be tried on any criminal charge save in due course of law” (Article </w:t>
                        </w:r>
                        <w:r w:rsidRPr="00392980">
                          <w:rPr>
                            <w:rFonts w:ascii="Verdana" w:eastAsia="Times New Roman" w:hAnsi="Verdana" w:cs="Times New Roman"/>
                            <w:sz w:val="20"/>
                            <w:szCs w:val="20"/>
                            <w:lang w:eastAsia="it-IT"/>
                          </w:rPr>
                          <w:lastRenderedPageBreak/>
                          <w:t xml:space="preserve">38 S1), that (the State guarantees in its laws to respect, and, as far as practicable, by its laws to defendant vindicate the personal rights of the citizen” (Article 40.3.1), that “the state shall, in particular, by its laws protect as best it may from unjust attack and, in the case of injustice done, vindicate the life, person, good name, and property right of every citizen” (Article 40.3.2), and that “no citizen shall be deprived of his personal liberty save in accordance with law” (Article 40.4.1), it necessarily implies, at the very least, a guarantee that the citizen shall not be deprived of his liberty as a result of a criminal trial conducted in a manner, or in circumstances, calculated to shut him out from a reasonable opportunity of establishing as innocence; or, where guilt has been established or admitted, of receiving a sentence appropriate to his degree of guilt and his irrelevant personal circumstances.” </w:t>
                        </w:r>
                      </w:p>
                      <w:p w:rsidR="00392980" w:rsidRPr="00392980" w:rsidRDefault="00392980" w:rsidP="00392980">
                        <w:pPr>
                          <w:spacing w:after="0"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16. Looking first at the issue of equivalence in the context of an individual’s constitutional right to legal aid, in my view an individual served with an EAW is not engaged in a process which by any stretch of the imagination could be considered equivalent to that which happens in the course of a criminal trial. The individual whose surrender is sought is either due to stand trial at some future date in a member state where their liberty will be at stake or will already have been convicted and lost their liberty by reason of a trial conducted in another member state. His liberty is not at stake in the manner in which it is at stake in the course of a criminal trial.</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17. In these proceedings Mr. O’Connor faces a request for his surrender to the English authorities to serve a prison sentence imposed upon him there following his conviction on two charges of revenue fraud and also to face one charge of unlawful bail jumping. It is also important to emphasise that his return is sought to another member state in the context of the legislation introduced as a result the Framework Decision intended to streamline extradition among member states and in the context of a renewed trust and confidence in the courts of the member states. It is convenient for me to borrow the following text from the introductory section of the judgment of the President.</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after="0"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“The European arrest warrant is a function of an EU Framework Decision that was intended to streamline extradition among member states by replacing inter-State requests with enforcement of court orders from one country to another. The scheme is founded on trust in the systems of justice in the participating states. Cumbersome rules of procedure were replaced by a standard unified process that applied across the European Union. Strict time limits were laid down so that the process of transmitting a wanted person from where he was arrested to the requesting State court would operate smoothly and efficiently. Some of the old rules were dispensed with because they were thought to be unnecessary in the new community of trust in common precepts of substantive and procedural justice.”</w:t>
                        </w:r>
                      </w:p>
                      <w:p w:rsidR="00392980" w:rsidRPr="00392980" w:rsidRDefault="00392980" w:rsidP="00392980">
                        <w:pPr>
                          <w:spacing w:after="0"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18. It is true to say that the EAW proceedings potentially have serious consequences for Mr. O’Connor in that if he is returned to England he will likely serve the prison sentence already mentioned. However, the proceedings before this Court do no more than seek his transfer to the jurisdiction of another member state where he was found guilty of those </w:t>
                        </w:r>
                        <w:r w:rsidRPr="00392980">
                          <w:rPr>
                            <w:rFonts w:ascii="Verdana" w:eastAsia="Times New Roman" w:hAnsi="Verdana" w:cs="Times New Roman"/>
                            <w:sz w:val="20"/>
                            <w:szCs w:val="20"/>
                            <w:lang w:eastAsia="it-IT"/>
                          </w:rPr>
                          <w:lastRenderedPageBreak/>
                          <w:t xml:space="preserve">charges thus depriving him of his right to liberty. Following the approach taken by Murray C.J., when describing the extradition process in </w:t>
                        </w:r>
                        <w:r w:rsidRPr="00392980">
                          <w:rPr>
                            <w:rFonts w:ascii="Verdana" w:eastAsia="Times New Roman" w:hAnsi="Verdana" w:cs="Times New Roman"/>
                            <w:i/>
                            <w:iCs/>
                            <w:sz w:val="20"/>
                            <w:szCs w:val="20"/>
                            <w:lang w:eastAsia="it-IT"/>
                          </w:rPr>
                          <w:t>Attorney General v. Parke</w:t>
                        </w:r>
                        <w:r w:rsidRPr="00392980">
                          <w:rPr>
                            <w:rFonts w:ascii="Verdana" w:eastAsia="Times New Roman" w:hAnsi="Verdana" w:cs="Times New Roman"/>
                            <w:sz w:val="20"/>
                            <w:szCs w:val="20"/>
                            <w:lang w:eastAsia="it-IT"/>
                          </w:rPr>
                          <w:t xml:space="preserve"> (unreported, Supreme Court, 6th December, 2004) it may fairly be said that the proceedings under the 2003 Act should be considered to be more in the nature of a sui generis inquiry. At p. 11 of his judgment he stated: </w:t>
                        </w:r>
                      </w:p>
                      <w:p w:rsidR="00392980" w:rsidRPr="00392980" w:rsidRDefault="00392980" w:rsidP="00392980">
                        <w:pPr>
                          <w:spacing w:after="0"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“I should first of all state the obvious, namely, that although extradition may entail serious consequences for a person subjected to it, such as the loss of liberty, extradition proceedings are not a criminal process and are not in the nature of a criminal trial. The burden of proof of facts which may rest on the applicant in these proceedings is not that of a criminal trial. I hasten to add that the learned High Court judge did not approach this matter on such a basis and it is just that I consider it appropriate at this point to distinguish between extradition proceedings and other forms of proceedings, criminal and criminal and civil. An extradition proceeding, pursuant to the relevant Acts, has its own special features which in a certain sense makes it sui generis.” </w:t>
                        </w:r>
                      </w:p>
                      <w:p w:rsidR="00392980" w:rsidRPr="00392980" w:rsidRDefault="00392980" w:rsidP="00392980">
                        <w:pPr>
                          <w:spacing w:after="0"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19. Accordingly, insofar as Mr. O’Connor seeks to equate his position in these EAW proceedings to the position of an individual facing criminal charges in this jurisdiction and whose liberty is at stake, I am not satisfied his equivalence claim is well founded.</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20. Even if Mr. O’Connor had not been convicted in England and his surrender was sought for the purposes of securing his return to stand trial on charges of tax fraud, in my view he could not successfully argue that he was in an equivalent position to a member of the public in this jurisdiction facing trial for some other criminal offence. It is only subsequent to his surrender that he will find himself in an equivalent position to his Irish counterpart in this jurisdiction. As was stated by the Chief Justice </w:t>
                        </w:r>
                        <w:r w:rsidRPr="00392980">
                          <w:rPr>
                            <w:rFonts w:ascii="Verdana" w:eastAsia="Times New Roman" w:hAnsi="Verdana" w:cs="Times New Roman"/>
                            <w:i/>
                            <w:iCs/>
                            <w:sz w:val="20"/>
                            <w:szCs w:val="20"/>
                            <w:lang w:eastAsia="it-IT"/>
                          </w:rPr>
                          <w:t>in The State (O) v. Daly</w:t>
                        </w:r>
                        <w:r w:rsidRPr="00392980">
                          <w:rPr>
                            <w:rFonts w:ascii="Verdana" w:eastAsia="Times New Roman" w:hAnsi="Verdana" w:cs="Times New Roman"/>
                            <w:sz w:val="20"/>
                            <w:szCs w:val="20"/>
                            <w:lang w:eastAsia="it-IT"/>
                          </w:rPr>
                          <w:t xml:space="preserve"> [1977] 1 I.R. 312, at 315:- </w:t>
                        </w:r>
                      </w:p>
                      <w:p w:rsidR="00392980" w:rsidRPr="00392980" w:rsidRDefault="00392980" w:rsidP="00392980">
                        <w:pPr>
                          <w:spacing w:after="0"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“There is a danger that the decision in </w:t>
                        </w:r>
                        <w:r w:rsidRPr="00392980">
                          <w:rPr>
                            <w:rFonts w:ascii="Verdana" w:eastAsia="Times New Roman" w:hAnsi="Verdana" w:cs="Times New Roman"/>
                            <w:i/>
                            <w:iCs/>
                            <w:sz w:val="20"/>
                            <w:szCs w:val="20"/>
                            <w:lang w:eastAsia="it-IT"/>
                          </w:rPr>
                          <w:t>Healy’s</w:t>
                        </w:r>
                        <w:r w:rsidRPr="00392980">
                          <w:rPr>
                            <w:rFonts w:ascii="Verdana" w:eastAsia="Times New Roman" w:hAnsi="Verdana" w:cs="Times New Roman"/>
                            <w:sz w:val="20"/>
                            <w:szCs w:val="20"/>
                            <w:lang w:eastAsia="it-IT"/>
                          </w:rPr>
                          <w:t xml:space="preserve"> case may be misunderstood in the sense that it may be regarded as plight applying to situations in circumstances which were not contemplated. It is worth recalling, therefore, that the decision in that case applies only to the trial of persons charged with criminal offences and not to the earlier or ancillary stages of criminal proceedings. It has to do with the circumstances in which the interests of justice and the requirements of a fair trial necessitate that the person charged be provided with legal assistance if he cannot provide such for himself.”</w:t>
                        </w:r>
                      </w:p>
                      <w:p w:rsidR="00392980" w:rsidRPr="00392980" w:rsidRDefault="00392980" w:rsidP="00392980">
                        <w:pPr>
                          <w:spacing w:after="0"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21. That brings me conveniently to the Mr. O’Connor’s submission that the constitutional requirement that he be treated equally before the law as per Article 40.1 mandates that he should be provided with legal aid under a statutory scheme equivalent to that which would be enjoyed by an individual facing extradition under the International Criminal Court Act 2006.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22. On the facts it is very difficult to distinguish between the position of an individual arrested under the 2003 Act and one whose surrender is sought under the International Criminal Court Act 2006. Each are sought to be surrendered to different authorities but for the same purpose; either to serve a sentence already imposed or to meet charges that have been </w:t>
                        </w:r>
                        <w:r w:rsidRPr="00392980">
                          <w:rPr>
                            <w:rFonts w:ascii="Verdana" w:eastAsia="Times New Roman" w:hAnsi="Verdana" w:cs="Times New Roman"/>
                            <w:sz w:val="20"/>
                            <w:szCs w:val="20"/>
                            <w:lang w:eastAsia="it-IT"/>
                          </w:rPr>
                          <w:lastRenderedPageBreak/>
                          <w:t xml:space="preserve">proffered. Both provide for the surrender of fugitives from justice and the procedure set out for seeking and effecting surrender are almost identical. While it is of course true to say that the 2006 Act deals with offences which are perhaps the most grave in the context of society as a whole such as genocide, war crimes and crimes against humanity, it is possible that a person against whom an EAW has issued could equally be facing or have been convicted of venous crimes which would carry equivalent penalties to those that might be imposed by the International Criminal Court under the 2006 Act.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23. It must be accepted that the 2006 Act is different from the 2003 Act insofar as it provides as follows: - </w:t>
                        </w:r>
                      </w:p>
                      <w:p w:rsidR="00392980" w:rsidRPr="00392980" w:rsidRDefault="00392980" w:rsidP="00392980">
                        <w:pPr>
                          <w:spacing w:after="0"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“S23(5) The Court shall order that legal aid be provided for the arrested person if it appears to it that the person’s means are insufficient to enable him or her to obtain such aid.</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288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(6) On the making of such an order the arrested person shall be entitled to free legal aid in the proceedings and for that purpose section 3 of the Criminal Justice (Legal Aid) Act 1962 shall apply, with the necessary modifications, in relation to the person as if he or she had been granted a legal aid (trial on indictment) certificate under that section.”</w:t>
                        </w:r>
                      </w:p>
                      <w:p w:rsidR="00392980" w:rsidRPr="00392980" w:rsidRDefault="00392980" w:rsidP="00392980">
                        <w:pPr>
                          <w:spacing w:after="0"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24. It is accordingly clear that individuals facing surrender under these two separate Acts of the Oireachtas have legal representation provided to them albeit that that such representation is delivered in a different manner. The individual facing surrender under the 2006 Act receives legal aid from the outset which is provided through the mechanism of the 1962 Act while his counterpart whose surrender is sought under the 2003 Act will also have legal representation from the outset under the scheme but where it cannot guaranteed with absolute certainty that the lawyers will be paid until the end of the process when the judge will decide whether or not to make the necessary recommendation.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b/>
                            <w:bCs/>
                            <w:sz w:val="20"/>
                            <w:szCs w:val="20"/>
                            <w:lang w:eastAsia="it-IT"/>
                          </w:rPr>
                          <w:t xml:space="preserve">Conclusion. </w:t>
                        </w:r>
                        <w:r w:rsidRPr="00392980">
                          <w:rPr>
                            <w:rFonts w:ascii="Times New Roman" w:eastAsia="Times New Roman" w:hAnsi="Times New Roman" w:cs="Times New Roman"/>
                            <w:sz w:val="24"/>
                            <w:szCs w:val="24"/>
                            <w:lang w:eastAsia="it-IT"/>
                          </w:rPr>
                          <w:br/>
                        </w:r>
                        <w:r w:rsidRPr="00392980">
                          <w:rPr>
                            <w:rFonts w:ascii="Verdana" w:eastAsia="Times New Roman" w:hAnsi="Verdana" w:cs="Times New Roman"/>
                            <w:sz w:val="20"/>
                            <w:szCs w:val="20"/>
                            <w:lang w:eastAsia="it-IT"/>
                          </w:rPr>
                          <w:t>25. I regret to say that while I am in agreement with Mr Justice Hogan that individuals facing a request for their surrender under the Acts of 2003 and 2006 should be considered to be in an equivalent class for the purposes of the constitutional argument, I cannot agree with him that Mr. O’Connor’s Article 40.1 rights have been breached by reason of the absence of a right to the benefit of a statutory legal aid scheme under the 2003 Act.</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26. It is important not to lose sight of precisely what right Mr. O’Connor maintains he is entitled to. He has a constitutional right to have competent legal representation provided by the state if he is unable to pay for it himself. He does not have a right to have that representation provided via any particular scheme, statutory or otherwise. The 1962 Act, to the extent that it makes provision for legal aid, is merely a means whereby the constitutional right to legal representation may be vindicated, as was held by Murray CJ in </w:t>
                        </w:r>
                        <w:r w:rsidRPr="00392980">
                          <w:rPr>
                            <w:rFonts w:ascii="Verdana" w:eastAsia="Times New Roman" w:hAnsi="Verdana" w:cs="Times New Roman"/>
                            <w:i/>
                            <w:iCs/>
                            <w:sz w:val="20"/>
                            <w:szCs w:val="20"/>
                            <w:lang w:eastAsia="it-IT"/>
                          </w:rPr>
                          <w:t>Carmody.</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 xml:space="preserve">27. The mechanism by which such a right is vindicated is not itself relevant unless there is in substance a diminution in the effectiveness of its delivery by virtue of some element pertaining to the method of its </w:t>
                        </w:r>
                        <w:r w:rsidRPr="00392980">
                          <w:rPr>
                            <w:rFonts w:ascii="Verdana" w:eastAsia="Times New Roman" w:hAnsi="Verdana" w:cs="Times New Roman"/>
                            <w:sz w:val="20"/>
                            <w:szCs w:val="20"/>
                            <w:lang w:eastAsia="it-IT"/>
                          </w:rPr>
                          <w:lastRenderedPageBreak/>
                          <w:t>delivery. The fact that the Scheme is not on a statutory footing or that it has features which are different from those of the statutory scheme cannot provide Mr. O’Connor with a legitimate basis for complaint. Uniformity in the method of the delivery of legal representation is not what is required. The State has a discretion as to how it will meet its constitutional obligations to provide legal representation for those entitled to it.</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28. In order for Mr. O’Connor to succeed in his claim, which is one based upon an alleged invidious discrimination, he would have to be in a position to establish by evidence that the Scheme provides a less effective method of vindicating his right to legal representation when compared to that which would be provided to him under the 1962 Act.</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29. There was no evidence led in the High Court to establish that the Scheme, as a matter of substance, is any less effective in vindicating the rights of an individual served with an EAW than is the statutory legal aid scheme provided under the 1962 Act. There was no evidence to suggest that persons in Mr. O’Connor’s position ever had difficulty obtaining legal representation from either solicitors or barristers. Indeed, he did not seek to avail of the Scheme himself. Neither was there any evidence, for example, to demonstrate that the quality of the lawyers willing to accept instructions under the Scheme, on the basis that they would only have recourse to the Scheme for the purposes of their fees, were any less capable than those available to provide legal representation under the statutory legal aid scheme. Neither, was any evidence lead to prove that any lawyer had ever refused to accept instructions for a person against whom a EWA had issued on the basis that they had concerns that they might not be paid at the end of the process because it would be left to the judge’s discretion as to whether or not to make the recommendation required to support the payment of their fees.</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30. Accordingly, even accepting Hogan J.’s analysis of the differences between the Scheme and the statutory legal aid scheme provided for under the 1962 Act, I am not satisfied that Mr. O’Connor has demonstrated that the 2003 Act, because it does not provide him with a statutory scheme of legal fails to vindicate his equality rights under Article 40.1. That this is so is principally because he has failed to establish that a person facing surrender under the 2003 Act is provided with a materially less advantageous system of legal representation because it is provided under the Scheme rather than under the statutory scheme available to individuals such as those whose surrender is sought under the 2006 Act.</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92980">
                          <w:rPr>
                            <w:rFonts w:ascii="Verdana" w:eastAsia="Times New Roman" w:hAnsi="Verdana" w:cs="Times New Roman"/>
                            <w:sz w:val="20"/>
                            <w:szCs w:val="20"/>
                            <w:lang w:eastAsia="it-IT"/>
                          </w:rPr>
                          <w:t>31. Finally, it is probably apposite to take judicial notice of the fact that the Attorney General’s Scheme is the method whereby the constitutional right to legal representation is provided for many classes of litigants. For example, legal representation for many custody related judicial reviews, which are of enormous import to those whose interests are at stake, is provided through the scheme. The statutory scheme is not available to those wishing to pursue claims of this type. Nonetheless, such proceedings are regularly pursued with the benefit of expert legal assistance provided through the Scheme.</w:t>
                        </w:r>
                        <w:r w:rsidRPr="00392980">
                          <w:rPr>
                            <w:rFonts w:ascii="Times New Roman" w:eastAsia="Times New Roman" w:hAnsi="Times New Roman" w:cs="Times New Roman"/>
                            <w:sz w:val="24"/>
                            <w:szCs w:val="24"/>
                            <w:lang w:eastAsia="it-IT"/>
                          </w:rPr>
                          <w:t xml:space="preserve">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32. Accordingly, I am satisfied that once effective legal assistance is available, be that by way of a statutory scheme or a non statutory </w:t>
                        </w:r>
                        <w:r w:rsidRPr="00392980">
                          <w:rPr>
                            <w:rFonts w:ascii="Verdana" w:eastAsia="Times New Roman" w:hAnsi="Verdana" w:cs="Times New Roman"/>
                            <w:sz w:val="20"/>
                            <w:szCs w:val="20"/>
                            <w:lang w:val="en-GB" w:eastAsia="it-IT"/>
                          </w:rPr>
                          <w:lastRenderedPageBreak/>
                          <w:t xml:space="preserve">scheme such as the Attorney General’s Scheme, the precise method whereby that assistance is delivered is immaterial.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 xml:space="preserve">33. Legal assistance of such nature was available to Mr O’Connor from the outset of these EAW proceedings had he chosen to avail of it. Accordingly, I am not satisfied that he has made out any claim that the defendants have failed to vindicate his equality rights guaranteed by Article 40.1 of the Constitution. </w:t>
                        </w:r>
                      </w:p>
                      <w:p w:rsidR="00392980" w:rsidRPr="00392980" w:rsidRDefault="00392980" w:rsidP="00392980">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92980">
                          <w:rPr>
                            <w:rFonts w:ascii="Verdana" w:eastAsia="Times New Roman" w:hAnsi="Verdana" w:cs="Times New Roman"/>
                            <w:sz w:val="20"/>
                            <w:szCs w:val="20"/>
                            <w:lang w:val="en-GB" w:eastAsia="it-IT"/>
                          </w:rPr>
                          <w:t>34. For all of these reasons I would decline the declaratory relief sought and would dismiss the appeal.</w:t>
                        </w:r>
                        <w:r w:rsidRPr="00392980">
                          <w:rPr>
                            <w:rFonts w:ascii="Times New Roman" w:eastAsia="Times New Roman" w:hAnsi="Times New Roman" w:cs="Times New Roman"/>
                            <w:sz w:val="24"/>
                            <w:szCs w:val="24"/>
                            <w:lang w:val="en-GB" w:eastAsia="it-IT"/>
                          </w:rPr>
                          <w:t xml:space="preserve"> </w:t>
                        </w:r>
                      </w:p>
                    </w:tc>
                  </w:tr>
                </w:tbl>
                <w:p w:rsidR="00392980" w:rsidRPr="00392980" w:rsidRDefault="00392980" w:rsidP="00392980">
                  <w:pPr>
                    <w:spacing w:after="0" w:line="240" w:lineRule="auto"/>
                    <w:rPr>
                      <w:rFonts w:ascii="Times New Roman" w:eastAsia="Times New Roman" w:hAnsi="Times New Roman" w:cs="Times New Roman"/>
                      <w:sz w:val="24"/>
                      <w:szCs w:val="24"/>
                      <w:lang w:val="en-GB" w:eastAsia="it-IT"/>
                    </w:rPr>
                  </w:pPr>
                </w:p>
              </w:tc>
            </w:tr>
          </w:tbl>
          <w:p w:rsidR="00392980" w:rsidRPr="00392980" w:rsidRDefault="00392980" w:rsidP="00392980">
            <w:pPr>
              <w:spacing w:after="0" w:line="240" w:lineRule="auto"/>
              <w:rPr>
                <w:rFonts w:ascii="Times New Roman" w:eastAsia="Times New Roman" w:hAnsi="Times New Roman" w:cs="Times New Roman"/>
                <w:sz w:val="24"/>
                <w:szCs w:val="24"/>
                <w:lang w:val="en-GB" w:eastAsia="it-IT"/>
              </w:rPr>
            </w:pPr>
          </w:p>
        </w:tc>
      </w:tr>
    </w:tbl>
    <w:p w:rsidR="00392980" w:rsidRPr="00392980" w:rsidRDefault="00392980" w:rsidP="00392980">
      <w:pPr>
        <w:spacing w:after="0" w:line="240" w:lineRule="auto"/>
        <w:rPr>
          <w:rFonts w:ascii="Times New Roman" w:eastAsia="Times New Roman" w:hAnsi="Times New Roman" w:cs="Times New Roman"/>
          <w:sz w:val="24"/>
          <w:szCs w:val="24"/>
          <w:lang w:eastAsia="it-IT"/>
        </w:rPr>
      </w:pPr>
      <w:r w:rsidRPr="00392980">
        <w:rPr>
          <w:rFonts w:ascii="Times New Roman" w:eastAsia="Times New Roman" w:hAnsi="Times New Roman" w:cs="Times New Roman"/>
          <w:sz w:val="24"/>
          <w:szCs w:val="24"/>
          <w:lang w:eastAsia="it-IT"/>
        </w:rPr>
        <w:lastRenderedPageBreak/>
        <w:pict>
          <v:rect id="_x0000_i1029" style="width:0;height:1.5pt" o:hralign="center" o:hrstd="t" o:hr="t" fillcolor="#a0a0a0" stroked="f"/>
        </w:pict>
      </w:r>
    </w:p>
    <w:p w:rsidR="00392980" w:rsidRPr="00392980" w:rsidRDefault="00392980" w:rsidP="00392980">
      <w:pPr>
        <w:spacing w:after="0" w:line="240" w:lineRule="auto"/>
        <w:rPr>
          <w:rFonts w:ascii="Times New Roman" w:eastAsia="Times New Roman" w:hAnsi="Times New Roman" w:cs="Times New Roman"/>
          <w:sz w:val="24"/>
          <w:szCs w:val="24"/>
          <w:lang w:val="en-GB" w:eastAsia="it-IT"/>
        </w:rPr>
      </w:pPr>
      <w:r w:rsidRPr="00392980">
        <w:rPr>
          <w:rFonts w:ascii="Times New Roman" w:eastAsia="Times New Roman" w:hAnsi="Times New Roman" w:cs="Times New Roman"/>
          <w:b/>
          <w:bCs/>
          <w:sz w:val="20"/>
          <w:szCs w:val="20"/>
          <w:lang w:val="en-GB" w:eastAsia="it-IT"/>
        </w:rPr>
        <w:t>BAILII:</w:t>
      </w:r>
      <w:r w:rsidRPr="00392980">
        <w:rPr>
          <w:rFonts w:ascii="Times New Roman" w:eastAsia="Times New Roman" w:hAnsi="Times New Roman" w:cs="Times New Roman"/>
          <w:sz w:val="20"/>
          <w:szCs w:val="20"/>
          <w:lang w:val="en-GB" w:eastAsia="it-IT"/>
        </w:rPr>
        <w:t xml:space="preserve"> </w:t>
      </w:r>
      <w:hyperlink r:id="rId35" w:history="1">
        <w:r w:rsidRPr="00392980">
          <w:rPr>
            <w:rFonts w:ascii="Times New Roman" w:eastAsia="Times New Roman" w:hAnsi="Times New Roman" w:cs="Times New Roman"/>
            <w:color w:val="0000FF"/>
            <w:sz w:val="20"/>
            <w:szCs w:val="20"/>
            <w:u w:val="single"/>
            <w:lang w:val="en-GB" w:eastAsia="it-IT"/>
          </w:rPr>
          <w:t>Copyright Policy</w:t>
        </w:r>
      </w:hyperlink>
      <w:r w:rsidRPr="00392980">
        <w:rPr>
          <w:rFonts w:ascii="Times New Roman" w:eastAsia="Times New Roman" w:hAnsi="Times New Roman" w:cs="Times New Roman"/>
          <w:sz w:val="20"/>
          <w:szCs w:val="20"/>
          <w:lang w:val="en-GB" w:eastAsia="it-IT"/>
        </w:rPr>
        <w:t xml:space="preserve"> </w:t>
      </w:r>
      <w:r w:rsidRPr="00392980">
        <w:rPr>
          <w:rFonts w:ascii="Times New Roman" w:eastAsia="Times New Roman" w:hAnsi="Times New Roman" w:cs="Times New Roman"/>
          <w:b/>
          <w:bCs/>
          <w:sz w:val="20"/>
          <w:szCs w:val="20"/>
          <w:lang w:val="en-GB" w:eastAsia="it-IT"/>
        </w:rPr>
        <w:t>|</w:t>
      </w:r>
      <w:r w:rsidRPr="00392980">
        <w:rPr>
          <w:rFonts w:ascii="Times New Roman" w:eastAsia="Times New Roman" w:hAnsi="Times New Roman" w:cs="Times New Roman"/>
          <w:sz w:val="20"/>
          <w:szCs w:val="20"/>
          <w:lang w:val="en-GB" w:eastAsia="it-IT"/>
        </w:rPr>
        <w:t xml:space="preserve"> </w:t>
      </w:r>
      <w:hyperlink r:id="rId36" w:history="1">
        <w:r w:rsidRPr="00392980">
          <w:rPr>
            <w:rFonts w:ascii="Times New Roman" w:eastAsia="Times New Roman" w:hAnsi="Times New Roman" w:cs="Times New Roman"/>
            <w:color w:val="0000FF"/>
            <w:sz w:val="20"/>
            <w:szCs w:val="20"/>
            <w:u w:val="single"/>
            <w:lang w:val="en-GB" w:eastAsia="it-IT"/>
          </w:rPr>
          <w:t>Disclaimers</w:t>
        </w:r>
      </w:hyperlink>
      <w:r w:rsidRPr="00392980">
        <w:rPr>
          <w:rFonts w:ascii="Times New Roman" w:eastAsia="Times New Roman" w:hAnsi="Times New Roman" w:cs="Times New Roman"/>
          <w:sz w:val="20"/>
          <w:szCs w:val="20"/>
          <w:lang w:val="en-GB" w:eastAsia="it-IT"/>
        </w:rPr>
        <w:t xml:space="preserve"> </w:t>
      </w:r>
      <w:r w:rsidRPr="00392980">
        <w:rPr>
          <w:rFonts w:ascii="Times New Roman" w:eastAsia="Times New Roman" w:hAnsi="Times New Roman" w:cs="Times New Roman"/>
          <w:b/>
          <w:bCs/>
          <w:sz w:val="20"/>
          <w:szCs w:val="20"/>
          <w:lang w:val="en-GB" w:eastAsia="it-IT"/>
        </w:rPr>
        <w:t>|</w:t>
      </w:r>
      <w:r w:rsidRPr="00392980">
        <w:rPr>
          <w:rFonts w:ascii="Times New Roman" w:eastAsia="Times New Roman" w:hAnsi="Times New Roman" w:cs="Times New Roman"/>
          <w:sz w:val="20"/>
          <w:szCs w:val="20"/>
          <w:lang w:val="en-GB" w:eastAsia="it-IT"/>
        </w:rPr>
        <w:t xml:space="preserve"> </w:t>
      </w:r>
      <w:hyperlink r:id="rId37" w:history="1">
        <w:r w:rsidRPr="00392980">
          <w:rPr>
            <w:rFonts w:ascii="Times New Roman" w:eastAsia="Times New Roman" w:hAnsi="Times New Roman" w:cs="Times New Roman"/>
            <w:color w:val="0000FF"/>
            <w:sz w:val="20"/>
            <w:szCs w:val="20"/>
            <w:u w:val="single"/>
            <w:lang w:val="en-GB" w:eastAsia="it-IT"/>
          </w:rPr>
          <w:t>Privacy Policy</w:t>
        </w:r>
      </w:hyperlink>
      <w:r w:rsidRPr="00392980">
        <w:rPr>
          <w:rFonts w:ascii="Times New Roman" w:eastAsia="Times New Roman" w:hAnsi="Times New Roman" w:cs="Times New Roman"/>
          <w:sz w:val="20"/>
          <w:szCs w:val="20"/>
          <w:lang w:val="en-GB" w:eastAsia="it-IT"/>
        </w:rPr>
        <w:t xml:space="preserve"> </w:t>
      </w:r>
      <w:r w:rsidRPr="00392980">
        <w:rPr>
          <w:rFonts w:ascii="Times New Roman" w:eastAsia="Times New Roman" w:hAnsi="Times New Roman" w:cs="Times New Roman"/>
          <w:b/>
          <w:bCs/>
          <w:sz w:val="20"/>
          <w:szCs w:val="20"/>
          <w:lang w:val="en-GB" w:eastAsia="it-IT"/>
        </w:rPr>
        <w:t>|</w:t>
      </w:r>
      <w:r w:rsidRPr="00392980">
        <w:rPr>
          <w:rFonts w:ascii="Times New Roman" w:eastAsia="Times New Roman" w:hAnsi="Times New Roman" w:cs="Times New Roman"/>
          <w:sz w:val="20"/>
          <w:szCs w:val="20"/>
          <w:lang w:val="en-GB" w:eastAsia="it-IT"/>
        </w:rPr>
        <w:t xml:space="preserve"> </w:t>
      </w:r>
      <w:hyperlink r:id="rId38" w:history="1">
        <w:r w:rsidRPr="00392980">
          <w:rPr>
            <w:rFonts w:ascii="Times New Roman" w:eastAsia="Times New Roman" w:hAnsi="Times New Roman" w:cs="Times New Roman"/>
            <w:color w:val="0000FF"/>
            <w:sz w:val="20"/>
            <w:szCs w:val="20"/>
            <w:u w:val="single"/>
            <w:lang w:val="en-GB" w:eastAsia="it-IT"/>
          </w:rPr>
          <w:t>Feedback</w:t>
        </w:r>
      </w:hyperlink>
      <w:r w:rsidRPr="00392980">
        <w:rPr>
          <w:rFonts w:ascii="Times New Roman" w:eastAsia="Times New Roman" w:hAnsi="Times New Roman" w:cs="Times New Roman"/>
          <w:sz w:val="20"/>
          <w:szCs w:val="20"/>
          <w:lang w:val="en-GB" w:eastAsia="it-IT"/>
        </w:rPr>
        <w:t xml:space="preserve"> </w:t>
      </w:r>
      <w:r w:rsidRPr="00392980">
        <w:rPr>
          <w:rFonts w:ascii="Times New Roman" w:eastAsia="Times New Roman" w:hAnsi="Times New Roman" w:cs="Times New Roman"/>
          <w:b/>
          <w:bCs/>
          <w:sz w:val="20"/>
          <w:szCs w:val="20"/>
          <w:lang w:val="en-GB" w:eastAsia="it-IT"/>
        </w:rPr>
        <w:t>|</w:t>
      </w:r>
      <w:r w:rsidRPr="00392980">
        <w:rPr>
          <w:rFonts w:ascii="Times New Roman" w:eastAsia="Times New Roman" w:hAnsi="Times New Roman" w:cs="Times New Roman"/>
          <w:sz w:val="20"/>
          <w:szCs w:val="20"/>
          <w:lang w:val="en-GB" w:eastAsia="it-IT"/>
        </w:rPr>
        <w:t xml:space="preserve"> </w:t>
      </w:r>
      <w:hyperlink r:id="rId39" w:history="1">
        <w:r w:rsidRPr="00392980">
          <w:rPr>
            <w:rFonts w:ascii="Times New Roman" w:eastAsia="Times New Roman" w:hAnsi="Times New Roman" w:cs="Times New Roman"/>
            <w:color w:val="0000FF"/>
            <w:sz w:val="20"/>
            <w:szCs w:val="20"/>
            <w:u w:val="single"/>
            <w:lang w:val="en-GB" w:eastAsia="it-IT"/>
          </w:rPr>
          <w:t>Donate to BAILII</w:t>
        </w:r>
      </w:hyperlink>
      <w:r w:rsidRPr="00392980">
        <w:rPr>
          <w:rFonts w:ascii="Times New Roman" w:eastAsia="Times New Roman" w:hAnsi="Times New Roman" w:cs="Times New Roman"/>
          <w:sz w:val="20"/>
          <w:szCs w:val="20"/>
          <w:lang w:val="en-GB" w:eastAsia="it-IT"/>
        </w:rPr>
        <w:t xml:space="preserve"> </w:t>
      </w:r>
      <w:r w:rsidRPr="00392980">
        <w:rPr>
          <w:rFonts w:ascii="Times New Roman" w:eastAsia="Times New Roman" w:hAnsi="Times New Roman" w:cs="Times New Roman"/>
          <w:sz w:val="20"/>
          <w:szCs w:val="20"/>
          <w:lang w:val="en-GB" w:eastAsia="it-IT"/>
        </w:rPr>
        <w:br/>
        <w:t xml:space="preserve">URL: </w:t>
      </w:r>
      <w:r w:rsidRPr="00392980">
        <w:rPr>
          <w:rFonts w:ascii="Times New Roman" w:eastAsia="Times New Roman" w:hAnsi="Times New Roman" w:cs="Times New Roman"/>
          <w:i/>
          <w:iCs/>
          <w:sz w:val="20"/>
          <w:szCs w:val="20"/>
          <w:lang w:val="en-GB" w:eastAsia="it-IT"/>
        </w:rPr>
        <w:t>http://www.bailii.org/ie/cases/IECA/2015/CA227.html</w:t>
      </w:r>
      <w:r w:rsidRPr="00392980">
        <w:rPr>
          <w:rFonts w:ascii="Times New Roman" w:eastAsia="Times New Roman" w:hAnsi="Times New Roman" w:cs="Times New Roman"/>
          <w:sz w:val="20"/>
          <w:szCs w:val="20"/>
          <w:lang w:val="en-GB" w:eastAsia="it-IT"/>
        </w:rPr>
        <w:t xml:space="preserve"> </w:t>
      </w:r>
    </w:p>
    <w:p w:rsidR="00064E47" w:rsidRPr="00392980" w:rsidRDefault="00064E47">
      <w:pPr>
        <w:rPr>
          <w:lang w:val="en-GB"/>
        </w:rPr>
      </w:pPr>
    </w:p>
    <w:sectPr w:rsidR="00064E47" w:rsidRPr="003929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80"/>
    <w:rsid w:val="00064E47"/>
    <w:rsid w:val="00392980"/>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D509E-FB2A-42DD-B162-ED3C3FB8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392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92980"/>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3929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92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598504">
      <w:bodyDiv w:val="1"/>
      <w:marLeft w:val="0"/>
      <w:marRight w:val="0"/>
      <w:marTop w:val="0"/>
      <w:marBottom w:val="0"/>
      <w:divBdr>
        <w:top w:val="none" w:sz="0" w:space="0" w:color="auto"/>
        <w:left w:val="none" w:sz="0" w:space="0" w:color="auto"/>
        <w:bottom w:val="none" w:sz="0" w:space="0" w:color="auto"/>
        <w:right w:val="none" w:sz="0" w:space="0" w:color="auto"/>
      </w:divBdr>
      <w:divsChild>
        <w:div w:id="1080326810">
          <w:marLeft w:val="0"/>
          <w:marRight w:val="0"/>
          <w:marTop w:val="0"/>
          <w:marBottom w:val="0"/>
          <w:divBdr>
            <w:top w:val="none" w:sz="0" w:space="0" w:color="auto"/>
            <w:left w:val="none" w:sz="0" w:space="0" w:color="auto"/>
            <w:bottom w:val="none" w:sz="0" w:space="0" w:color="auto"/>
            <w:right w:val="none" w:sz="0" w:space="0" w:color="auto"/>
          </w:divBdr>
          <w:divsChild>
            <w:div w:id="1196886941">
              <w:marLeft w:val="0"/>
              <w:marRight w:val="0"/>
              <w:marTop w:val="0"/>
              <w:marBottom w:val="0"/>
              <w:divBdr>
                <w:top w:val="none" w:sz="0" w:space="0" w:color="auto"/>
                <w:left w:val="none" w:sz="0" w:space="0" w:color="auto"/>
                <w:bottom w:val="none" w:sz="0" w:space="0" w:color="auto"/>
                <w:right w:val="none" w:sz="0" w:space="0" w:color="auto"/>
              </w:divBdr>
              <w:divsChild>
                <w:div w:id="11916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links/World/" TargetMode="External"/><Relationship Id="rId13" Type="http://schemas.openxmlformats.org/officeDocument/2006/relationships/hyperlink" Target="http://www.bailii.org/databases.html" TargetMode="External"/><Relationship Id="rId18" Type="http://schemas.openxmlformats.org/officeDocument/2006/relationships/hyperlink" Target="http://www.bailii.org/ie/cases/IECA/2015/CA227.html" TargetMode="External"/><Relationship Id="rId26" Type="http://schemas.openxmlformats.org/officeDocument/2006/relationships/hyperlink" Target="http://www.bailii.org/ie/cases/IESC/2008/S32.html" TargetMode="External"/><Relationship Id="rId39" Type="http://schemas.openxmlformats.org/officeDocument/2006/relationships/hyperlink" Target="http://www.givenow.org/charitysearch/charitydetails.asp?ID=554118&amp;PID=512038&amp;SearchString=British+%26+Irish+Legal+Information+Institute&amp;page=quick&amp;orgname=British+%26+Irish+Legal+Information+Institute" TargetMode="External"/><Relationship Id="rId3" Type="http://schemas.openxmlformats.org/officeDocument/2006/relationships/webSettings" Target="webSettings.xml"/><Relationship Id="rId21" Type="http://schemas.openxmlformats.org/officeDocument/2006/relationships/hyperlink" Target="http://www.bailii.org/ie/cases/IEHC/2015/H26.html" TargetMode="External"/><Relationship Id="rId34" Type="http://schemas.openxmlformats.org/officeDocument/2006/relationships/hyperlink" Target="http://www.bailii.org/ie/cases/IESC/2009/S71.html" TargetMode="External"/><Relationship Id="rId7" Type="http://schemas.openxmlformats.org/officeDocument/2006/relationships/hyperlink" Target="http://www.bailii.org/databases.html" TargetMode="External"/><Relationship Id="rId12" Type="http://schemas.openxmlformats.org/officeDocument/2006/relationships/hyperlink" Target="http://www.bailii.org/" TargetMode="External"/><Relationship Id="rId17" Type="http://schemas.openxmlformats.org/officeDocument/2006/relationships/hyperlink" Target="http://www.bailii.org/ie/cases/IECA/2015/CA227.html" TargetMode="External"/><Relationship Id="rId25" Type="http://schemas.openxmlformats.org/officeDocument/2006/relationships/hyperlink" Target="http://www.bailii.org/ie/cases/IESC/1999/47.html" TargetMode="External"/><Relationship Id="rId33" Type="http://schemas.openxmlformats.org/officeDocument/2006/relationships/hyperlink" Target="http://www.bailii.org/ie/cases/IESC/2009/S71.html" TargetMode="External"/><Relationship Id="rId38" Type="http://schemas.openxmlformats.org/officeDocument/2006/relationships/hyperlink" Target="http://www.bailii.org/bailii/feedback.html" TargetMode="External"/><Relationship Id="rId2" Type="http://schemas.openxmlformats.org/officeDocument/2006/relationships/settings" Target="settings.xml"/><Relationship Id="rId16" Type="http://schemas.openxmlformats.org/officeDocument/2006/relationships/hyperlink" Target="http://www.bailii.org/bailii/help/" TargetMode="External"/><Relationship Id="rId20" Type="http://schemas.openxmlformats.org/officeDocument/2006/relationships/hyperlink" Target="http://www.bailii.org/cgi-bin/redirect.cgi?path=/ie/cases/IESC/2009/S71.html" TargetMode="External"/><Relationship Id="rId29" Type="http://schemas.openxmlformats.org/officeDocument/2006/relationships/hyperlink" Target="http://www.bailii.org/ie/cases/IEHC/2011/H445.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ailii.org/" TargetMode="External"/><Relationship Id="rId11" Type="http://schemas.openxmlformats.org/officeDocument/2006/relationships/hyperlink" Target="http://www.bailii.org/bailii/feedback.html" TargetMode="External"/><Relationship Id="rId24" Type="http://schemas.openxmlformats.org/officeDocument/2006/relationships/hyperlink" Target="http://www.bailii.org/ie/cases/IESC/2011/S1.html" TargetMode="External"/><Relationship Id="rId32" Type="http://schemas.openxmlformats.org/officeDocument/2006/relationships/hyperlink" Target="http://www.bailii.org/ie/cases/IESC/2009/S71.html" TargetMode="External"/><Relationship Id="rId37" Type="http://schemas.openxmlformats.org/officeDocument/2006/relationships/hyperlink" Target="http://www.bailii.org/bailii/privacy.html"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bailii.org/form/search_cases.html" TargetMode="External"/><Relationship Id="rId23" Type="http://schemas.openxmlformats.org/officeDocument/2006/relationships/hyperlink" Target="http://www.bailii.org/ie/cases/IESC/2011/S1.html" TargetMode="External"/><Relationship Id="rId28" Type="http://schemas.openxmlformats.org/officeDocument/2006/relationships/hyperlink" Target="http://www.bailii.org/ie/cases/IEHC/2010/H301.html" TargetMode="External"/><Relationship Id="rId36" Type="http://schemas.openxmlformats.org/officeDocument/2006/relationships/hyperlink" Target="http://www.bailii.org/bailii/disclaimers.html" TargetMode="External"/><Relationship Id="rId10" Type="http://schemas.openxmlformats.org/officeDocument/2006/relationships/hyperlink" Target="http://www.bailii.org/bailii/help/" TargetMode="External"/><Relationship Id="rId19" Type="http://schemas.openxmlformats.org/officeDocument/2006/relationships/hyperlink" Target="http://www.bailii.org/ie/cases/IECA/2015/CA227.html" TargetMode="External"/><Relationship Id="rId31" Type="http://schemas.openxmlformats.org/officeDocument/2006/relationships/hyperlink" Target="http://www.bailii.org/ie/cases/IESC/2009/S71.html" TargetMode="External"/><Relationship Id="rId4" Type="http://schemas.openxmlformats.org/officeDocument/2006/relationships/hyperlink" Target="http://www.bailii.org/" TargetMode="External"/><Relationship Id="rId9" Type="http://schemas.openxmlformats.org/officeDocument/2006/relationships/hyperlink" Target="http://www.bailii.org/form/search_multidatabase.html" TargetMode="External"/><Relationship Id="rId14" Type="http://schemas.openxmlformats.org/officeDocument/2006/relationships/hyperlink" Target="http://www.bailii.org/ie/cases/IECA/" TargetMode="External"/><Relationship Id="rId22" Type="http://schemas.openxmlformats.org/officeDocument/2006/relationships/hyperlink" Target="http://www.bailii.org/ie/cases/IESC/2011/S1.html" TargetMode="External"/><Relationship Id="rId27" Type="http://schemas.openxmlformats.org/officeDocument/2006/relationships/hyperlink" Target="http://www.bailii.org/ie/cases/IESC/2008/S73.html" TargetMode="External"/><Relationship Id="rId30" Type="http://schemas.openxmlformats.org/officeDocument/2006/relationships/hyperlink" Target="http://www.bailii.org/ie/cases/IEHC/2011/H445.html" TargetMode="External"/><Relationship Id="rId35" Type="http://schemas.openxmlformats.org/officeDocument/2006/relationships/hyperlink" Target="http://www.bailii.org/bailii/copyrigh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16354</Words>
  <Characters>93222</Characters>
  <Application>Microsoft Office Word</Application>
  <DocSecurity>0</DocSecurity>
  <Lines>776</Lines>
  <Paragraphs>218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dc:creator>
  <cp:keywords/>
  <dc:description/>
  <cp:lastModifiedBy>fabian</cp:lastModifiedBy>
  <cp:revision>1</cp:revision>
  <dcterms:created xsi:type="dcterms:W3CDTF">2015-11-07T18:32:00Z</dcterms:created>
  <dcterms:modified xsi:type="dcterms:W3CDTF">2015-11-07T18:32:00Z</dcterms:modified>
</cp:coreProperties>
</file>