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3EA9" w14:textId="77777777" w:rsidR="00807A92" w:rsidRPr="00807A92" w:rsidRDefault="00807A92" w:rsidP="00807A92">
      <w:pPr>
        <w:pBdr>
          <w:bottom w:val="single" w:sz="6" w:space="1" w:color="auto"/>
        </w:pBdr>
        <w:spacing w:after="0" w:line="240" w:lineRule="auto"/>
        <w:jc w:val="center"/>
        <w:rPr>
          <w:rFonts w:ascii="Arial" w:eastAsia="Times New Roman" w:hAnsi="Arial" w:cs="Arial"/>
          <w:vanish/>
          <w:sz w:val="16"/>
          <w:szCs w:val="16"/>
          <w:lang w:eastAsia="it-IT"/>
        </w:rPr>
      </w:pPr>
      <w:r w:rsidRPr="00807A92">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807A92" w:rsidRPr="00807A92" w14:paraId="2A4B5A31" w14:textId="77777777" w:rsidTr="00807A92">
        <w:trPr>
          <w:tblCellSpacing w:w="15" w:type="dxa"/>
        </w:trPr>
        <w:tc>
          <w:tcPr>
            <w:tcW w:w="0" w:type="auto"/>
            <w:vAlign w:val="center"/>
            <w:hideMark/>
          </w:tcPr>
          <w:p w14:paraId="726EC60A" w14:textId="5E9449BE" w:rsidR="00807A92" w:rsidRPr="00807A92" w:rsidRDefault="00807A92" w:rsidP="00807A92">
            <w:pPr>
              <w:spacing w:after="0" w:line="240" w:lineRule="auto"/>
              <w:rPr>
                <w:rFonts w:ascii="Times New Roman" w:eastAsia="Times New Roman" w:hAnsi="Times New Roman" w:cs="Times New Roman"/>
                <w:sz w:val="24"/>
                <w:szCs w:val="24"/>
                <w:lang w:eastAsia="it-IT"/>
              </w:rPr>
            </w:pPr>
            <w:bookmarkStart w:id="0" w:name="topOfResultDiv"/>
            <w:bookmarkEnd w:id="0"/>
            <w:r w:rsidRPr="00807A92">
              <w:rPr>
                <w:rFonts w:ascii="Times New Roman" w:eastAsia="Times New Roman" w:hAnsi="Times New Roman" w:cs="Times New Roman"/>
                <w:noProof/>
                <w:sz w:val="24"/>
                <w:szCs w:val="24"/>
                <w:lang w:eastAsia="it-IT"/>
              </w:rPr>
              <w:drawing>
                <wp:inline distT="0" distB="0" distL="0" distR="0" wp14:anchorId="6FF073D1" wp14:editId="6E2362DA">
                  <wp:extent cx="876300" cy="876300"/>
                  <wp:effectExtent l="0" t="0" r="0" b="0"/>
                  <wp:docPr id="39" name="Immagine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07"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1EB05603"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InfoCuria</w:t>
            </w:r>
          </w:p>
          <w:p w14:paraId="6DE0659D"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Giurisprudenza</w:t>
            </w:r>
          </w:p>
        </w:tc>
        <w:tc>
          <w:tcPr>
            <w:tcW w:w="0" w:type="auto"/>
            <w:vAlign w:val="bottom"/>
            <w:hideMark/>
          </w:tcPr>
          <w:p w14:paraId="54A71E89" w14:textId="4C7696B0" w:rsidR="00807A92" w:rsidRPr="00807A92" w:rsidRDefault="00807A92" w:rsidP="00807A92">
            <w:pPr>
              <w:spacing w:after="0" w:line="240" w:lineRule="auto"/>
              <w:jc w:val="right"/>
              <w:rPr>
                <w:rFonts w:ascii="Times New Roman" w:eastAsia="Times New Roman" w:hAnsi="Times New Roman" w:cs="Times New Roman"/>
                <w:sz w:val="24"/>
                <w:szCs w:val="24"/>
                <w:lang w:eastAsia="it-IT"/>
              </w:rPr>
            </w:pPr>
            <w:r w:rsidRPr="00807A92">
              <w:rPr>
                <w:rFonts w:ascii="Times New Roman" w:eastAsia="Times New Roman" w:hAnsi="Times New Roman" w:cs="Times New Roman"/>
                <w:noProof/>
                <w:sz w:val="24"/>
                <w:szCs w:val="24"/>
                <w:lang w:eastAsia="it-IT"/>
              </w:rPr>
              <w:drawing>
                <wp:inline distT="0" distB="0" distL="0" distR="0" wp14:anchorId="76980C03" wp14:editId="6D2F5902">
                  <wp:extent cx="314325" cy="247650"/>
                  <wp:effectExtent l="0" t="0" r="9525" b="0"/>
                  <wp:docPr id="38" name="Immagine 3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08"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27CFDD46" w14:textId="77777777" w:rsidR="00807A92" w:rsidRPr="00807A92" w:rsidRDefault="00807A92" w:rsidP="00807A92">
      <w:pPr>
        <w:pBdr>
          <w:top w:val="single" w:sz="6" w:space="1" w:color="auto"/>
        </w:pBdr>
        <w:spacing w:after="0" w:line="240" w:lineRule="auto"/>
        <w:jc w:val="center"/>
        <w:rPr>
          <w:rFonts w:ascii="Arial" w:eastAsia="Times New Roman" w:hAnsi="Arial" w:cs="Arial"/>
          <w:vanish/>
          <w:sz w:val="16"/>
          <w:szCs w:val="16"/>
          <w:lang w:eastAsia="it-IT"/>
        </w:rPr>
      </w:pPr>
      <w:r w:rsidRPr="00807A92">
        <w:rPr>
          <w:rFonts w:ascii="Arial" w:eastAsia="Times New Roman" w:hAnsi="Arial" w:cs="Arial"/>
          <w:vanish/>
          <w:sz w:val="16"/>
          <w:szCs w:val="16"/>
          <w:lang w:eastAsia="it-IT"/>
        </w:rPr>
        <w:t>Fine modulo</w:t>
      </w:r>
    </w:p>
    <w:p w14:paraId="6C68873E" w14:textId="48B2035D"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noProof/>
          <w:sz w:val="24"/>
          <w:szCs w:val="24"/>
          <w:lang w:eastAsia="it-IT"/>
        </w:rPr>
        <w:drawing>
          <wp:inline distT="0" distB="0" distL="0" distR="0" wp14:anchorId="4211CF4B" wp14:editId="7DE8026D">
            <wp:extent cx="200025" cy="200025"/>
            <wp:effectExtent l="0" t="0" r="9525"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011933F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Navigazione</w:t>
      </w:r>
    </w:p>
    <w:p w14:paraId="3EEA2C92" w14:textId="08DE314F" w:rsidR="00807A92" w:rsidRPr="00807A92" w:rsidRDefault="00807A92" w:rsidP="00807A92">
      <w:pPr>
        <w:numPr>
          <w:ilvl w:val="0"/>
          <w:numId w:val="7"/>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807A92">
        <w:rPr>
          <w:rFonts w:ascii="Times New Roman" w:eastAsia="Times New Roman" w:hAnsi="Times New Roman" w:cs="Times New Roman"/>
          <w:noProof/>
          <w:sz w:val="24"/>
          <w:szCs w:val="24"/>
          <w:lang w:eastAsia="it-IT"/>
        </w:rPr>
        <w:drawing>
          <wp:inline distT="0" distB="0" distL="0" distR="0" wp14:anchorId="404A41FE" wp14:editId="2A25D80D">
            <wp:extent cx="152400" cy="114300"/>
            <wp:effectExtent l="0" t="0" r="0" b="0"/>
            <wp:docPr id="36" name="Immagine 36"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10"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07A92">
        <w:rPr>
          <w:rFonts w:ascii="Times New Roman" w:eastAsia="Times New Roman" w:hAnsi="Times New Roman" w:cs="Times New Roman"/>
          <w:noProof/>
          <w:sz w:val="24"/>
          <w:szCs w:val="24"/>
          <w:lang w:eastAsia="it-IT"/>
        </w:rPr>
        <w:drawing>
          <wp:inline distT="0" distB="0" distL="0" distR="0" wp14:anchorId="7BD28DA1" wp14:editId="5E23D39E">
            <wp:extent cx="76200" cy="114300"/>
            <wp:effectExtent l="0" t="0" r="0" b="0"/>
            <wp:docPr id="35" name="Immagine 35"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11"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807A92">
        <w:rPr>
          <w:rFonts w:ascii="Times New Roman" w:eastAsia="Times New Roman" w:hAnsi="Times New Roman" w:cs="Times New Roman"/>
          <w:noProof/>
          <w:sz w:val="24"/>
          <w:szCs w:val="24"/>
          <w:lang w:eastAsia="it-IT"/>
        </w:rPr>
        <w:drawing>
          <wp:inline distT="0" distB="0" distL="0" distR="0" wp14:anchorId="579049F4" wp14:editId="61D9197C">
            <wp:extent cx="76200" cy="114300"/>
            <wp:effectExtent l="0" t="0" r="0" b="0"/>
            <wp:docPr id="34" name="Immagine 34"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12"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807A92">
        <w:rPr>
          <w:rFonts w:ascii="Times New Roman" w:eastAsia="Times New Roman" w:hAnsi="Times New Roman" w:cs="Times New Roman"/>
          <w:noProof/>
          <w:color w:val="0000FF"/>
          <w:sz w:val="24"/>
          <w:szCs w:val="24"/>
          <w:lang w:eastAsia="it-IT"/>
        </w:rPr>
        <w:drawing>
          <wp:inline distT="0" distB="0" distL="0" distR="0" wp14:anchorId="55720834" wp14:editId="11EF6F90">
            <wp:extent cx="152400" cy="114300"/>
            <wp:effectExtent l="0" t="0" r="0" b="0"/>
            <wp:docPr id="33" name="Immagine 33"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13"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14:paraId="38BCA13A" w14:textId="7B875051"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noProof/>
          <w:sz w:val="24"/>
          <w:szCs w:val="24"/>
          <w:lang w:eastAsia="it-IT"/>
        </w:rPr>
        <w:drawing>
          <wp:inline distT="0" distB="0" distL="0" distR="0" wp14:anchorId="12B1A8AE" wp14:editId="21ACC17B">
            <wp:extent cx="200025" cy="200025"/>
            <wp:effectExtent l="0" t="0" r="9525" b="952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3781F84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Documenti</w:t>
      </w:r>
    </w:p>
    <w:p w14:paraId="101D8259" w14:textId="77777777" w:rsidR="00807A92" w:rsidRPr="00807A92" w:rsidRDefault="00807A92" w:rsidP="00807A92">
      <w:pPr>
        <w:numPr>
          <w:ilvl w:val="0"/>
          <w:numId w:val="8"/>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807A92">
          <w:rPr>
            <w:rFonts w:ascii="Times New Roman" w:eastAsia="Times New Roman" w:hAnsi="Times New Roman" w:cs="Times New Roman"/>
            <w:color w:val="0000FF"/>
            <w:sz w:val="24"/>
            <w:szCs w:val="24"/>
            <w:u w:val="single"/>
            <w:lang w:eastAsia="it-IT"/>
          </w:rPr>
          <w:t>C-561/19 - Conclusioni</w:t>
        </w:r>
      </w:hyperlink>
      <w:r w:rsidRPr="00807A92">
        <w:rPr>
          <w:rFonts w:ascii="Times New Roman" w:eastAsia="Times New Roman" w:hAnsi="Times New Roman" w:cs="Times New Roman"/>
          <w:sz w:val="24"/>
          <w:szCs w:val="24"/>
          <w:lang w:eastAsia="it-IT"/>
        </w:rPr>
        <w:t xml:space="preserve"> </w:t>
      </w:r>
    </w:p>
    <w:p w14:paraId="571E54AA" w14:textId="77777777" w:rsidR="00807A92" w:rsidRPr="00807A92" w:rsidRDefault="00807A92" w:rsidP="00807A9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807A92">
          <w:rPr>
            <w:rFonts w:ascii="Times New Roman" w:eastAsia="Times New Roman" w:hAnsi="Times New Roman" w:cs="Times New Roman"/>
            <w:color w:val="0000FF"/>
            <w:sz w:val="24"/>
            <w:szCs w:val="24"/>
            <w:u w:val="single"/>
            <w:lang w:eastAsia="it-IT"/>
          </w:rPr>
          <w:t>C-561/19 - Domanda (GU)</w:t>
        </w:r>
      </w:hyperlink>
      <w:r w:rsidRPr="00807A92">
        <w:rPr>
          <w:rFonts w:ascii="Times New Roman" w:eastAsia="Times New Roman" w:hAnsi="Times New Roman" w:cs="Times New Roman"/>
          <w:sz w:val="24"/>
          <w:szCs w:val="24"/>
          <w:lang w:eastAsia="it-IT"/>
        </w:rPr>
        <w:t xml:space="preserve"> </w:t>
      </w:r>
    </w:p>
    <w:p w14:paraId="41A2F0C6" w14:textId="77777777" w:rsidR="00807A92" w:rsidRPr="00807A92" w:rsidRDefault="00807A92" w:rsidP="00807A9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807A92">
          <w:rPr>
            <w:rFonts w:ascii="Times New Roman" w:eastAsia="Times New Roman" w:hAnsi="Times New Roman" w:cs="Times New Roman"/>
            <w:color w:val="0000FF"/>
            <w:sz w:val="24"/>
            <w:szCs w:val="24"/>
            <w:u w:val="single"/>
            <w:lang w:eastAsia="it-IT"/>
          </w:rPr>
          <w:t>C-561/19 - Domanda di pronuncia pregiudiziale</w:t>
        </w:r>
      </w:hyperlink>
      <w:r w:rsidRPr="00807A92">
        <w:rPr>
          <w:rFonts w:ascii="Times New Roman" w:eastAsia="Times New Roman" w:hAnsi="Times New Roman" w:cs="Times New Roman"/>
          <w:sz w:val="24"/>
          <w:szCs w:val="24"/>
          <w:lang w:eastAsia="it-IT"/>
        </w:rPr>
        <w:t xml:space="preserve"> </w:t>
      </w:r>
    </w:p>
    <w:p w14:paraId="22FBAECD" w14:textId="77777777" w:rsidR="00807A92" w:rsidRPr="00807A92" w:rsidRDefault="00807A92" w:rsidP="00807A92">
      <w:pPr>
        <w:numPr>
          <w:ilvl w:val="0"/>
          <w:numId w:val="9"/>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807A92" w:rsidRPr="00807A92" w14:paraId="0A0F3DB9" w14:textId="77777777" w:rsidTr="00807A92">
        <w:trPr>
          <w:tblCellSpacing w:w="0" w:type="dxa"/>
          <w:jc w:val="center"/>
        </w:trPr>
        <w:tc>
          <w:tcPr>
            <w:tcW w:w="0" w:type="auto"/>
            <w:vAlign w:val="center"/>
            <w:hideMark/>
          </w:tcPr>
          <w:p w14:paraId="2C6DC444" w14:textId="55659DBD"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noProof/>
                <w:sz w:val="24"/>
                <w:szCs w:val="24"/>
                <w:lang w:eastAsia="it-IT"/>
              </w:rPr>
              <w:drawing>
                <wp:inline distT="0" distB="0" distL="0" distR="0" wp14:anchorId="44A0E35E" wp14:editId="655051F9">
                  <wp:extent cx="152400" cy="114300"/>
                  <wp:effectExtent l="0" t="0" r="0" b="0"/>
                  <wp:docPr id="31" name="Immagine 31"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15"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07A92">
              <w:rPr>
                <w:rFonts w:ascii="Times New Roman" w:eastAsia="Times New Roman" w:hAnsi="Times New Roman" w:cs="Times New Roman"/>
                <w:noProof/>
                <w:sz w:val="24"/>
                <w:szCs w:val="24"/>
                <w:lang w:eastAsia="it-IT"/>
              </w:rPr>
              <w:drawing>
                <wp:inline distT="0" distB="0" distL="0" distR="0" wp14:anchorId="6B3F63EA" wp14:editId="179DD5D5">
                  <wp:extent cx="76200" cy="114300"/>
                  <wp:effectExtent l="0" t="0" r="0" b="0"/>
                  <wp:docPr id="30" name="Immagine 30"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16"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807A92">
              <w:rPr>
                <w:rFonts w:ascii="Times New Roman" w:eastAsia="Times New Roman" w:hAnsi="Times New Roman" w:cs="Times New Roman"/>
                <w:noProof/>
                <w:sz w:val="24"/>
                <w:szCs w:val="24"/>
                <w:lang w:eastAsia="it-IT"/>
              </w:rPr>
              <w:drawing>
                <wp:inline distT="0" distB="0" distL="0" distR="0" wp14:anchorId="79E8EEE2" wp14:editId="250041F4">
                  <wp:extent cx="76200" cy="114300"/>
                  <wp:effectExtent l="0" t="0" r="0" b="0"/>
                  <wp:docPr id="29" name="Immagine 29"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17"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807A92">
              <w:rPr>
                <w:rFonts w:ascii="Times New Roman" w:eastAsia="Times New Roman" w:hAnsi="Times New Roman" w:cs="Times New Roman"/>
                <w:noProof/>
                <w:sz w:val="24"/>
                <w:szCs w:val="24"/>
                <w:lang w:eastAsia="it-IT"/>
              </w:rPr>
              <w:drawing>
                <wp:inline distT="0" distB="0" distL="0" distR="0" wp14:anchorId="78213D13" wp14:editId="28EE16AE">
                  <wp:extent cx="152400" cy="114300"/>
                  <wp:effectExtent l="0" t="0" r="0" b="0"/>
                  <wp:docPr id="28" name="Immagine 28"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18"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r>
      <w:tr w:rsidR="00807A92" w:rsidRPr="00807A92" w14:paraId="20A7BA37" w14:textId="77777777" w:rsidTr="00807A92">
        <w:trPr>
          <w:tblCellSpacing w:w="0" w:type="dxa"/>
          <w:jc w:val="center"/>
        </w:trPr>
        <w:tc>
          <w:tcPr>
            <w:tcW w:w="0" w:type="auto"/>
            <w:vAlign w:val="center"/>
            <w:hideMark/>
          </w:tcPr>
          <w:p w14:paraId="05BF8D98"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br/>
              <w:t xml:space="preserve">1 /1 </w:t>
            </w:r>
          </w:p>
        </w:tc>
      </w:tr>
    </w:tbl>
    <w:p w14:paraId="5D9F9A15"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hyperlink r:id="rId17" w:history="1">
        <w:r w:rsidRPr="00807A92">
          <w:rPr>
            <w:rFonts w:ascii="Times New Roman" w:eastAsia="Times New Roman" w:hAnsi="Times New Roman" w:cs="Times New Roman"/>
            <w:b/>
            <w:bCs/>
            <w:color w:val="0000FF"/>
            <w:sz w:val="24"/>
            <w:szCs w:val="24"/>
            <w:u w:val="single"/>
            <w:lang w:eastAsia="it-IT"/>
          </w:rPr>
          <w:t>Pagina iniziale</w:t>
        </w:r>
      </w:hyperlink>
      <w:r w:rsidRPr="00807A92">
        <w:rPr>
          <w:rFonts w:ascii="Times New Roman" w:eastAsia="Times New Roman" w:hAnsi="Times New Roman" w:cs="Times New Roman"/>
          <w:b/>
          <w:bCs/>
          <w:sz w:val="24"/>
          <w:szCs w:val="24"/>
          <w:lang w:eastAsia="it-IT"/>
        </w:rPr>
        <w:t xml:space="preserve"> &gt; </w:t>
      </w:r>
      <w:hyperlink r:id="rId18" w:history="1">
        <w:r w:rsidRPr="00807A92">
          <w:rPr>
            <w:rFonts w:ascii="Times New Roman" w:eastAsia="Times New Roman" w:hAnsi="Times New Roman" w:cs="Times New Roman"/>
            <w:b/>
            <w:bCs/>
            <w:color w:val="0000FF"/>
            <w:sz w:val="24"/>
            <w:szCs w:val="24"/>
            <w:u w:val="single"/>
            <w:lang w:eastAsia="it-IT"/>
          </w:rPr>
          <w:t>Formulario di ricerca</w:t>
        </w:r>
      </w:hyperlink>
      <w:r w:rsidRPr="00807A92">
        <w:rPr>
          <w:rFonts w:ascii="Times New Roman" w:eastAsia="Times New Roman" w:hAnsi="Times New Roman" w:cs="Times New Roman"/>
          <w:b/>
          <w:bCs/>
          <w:sz w:val="24"/>
          <w:szCs w:val="24"/>
          <w:lang w:eastAsia="it-IT"/>
        </w:rPr>
        <w:t xml:space="preserve"> &gt; </w:t>
      </w:r>
      <w:hyperlink r:id="rId19" w:history="1">
        <w:r w:rsidRPr="00807A92">
          <w:rPr>
            <w:rFonts w:ascii="Times New Roman" w:eastAsia="Times New Roman" w:hAnsi="Times New Roman" w:cs="Times New Roman"/>
            <w:b/>
            <w:bCs/>
            <w:color w:val="0000FF"/>
            <w:sz w:val="24"/>
            <w:szCs w:val="24"/>
            <w:u w:val="single"/>
            <w:lang w:eastAsia="it-IT"/>
          </w:rPr>
          <w:t>Elenco dei risultati</w:t>
        </w:r>
      </w:hyperlink>
      <w:r w:rsidRPr="00807A92">
        <w:rPr>
          <w:rFonts w:ascii="Times New Roman" w:eastAsia="Times New Roman" w:hAnsi="Times New Roman" w:cs="Times New Roman"/>
          <w:b/>
          <w:bCs/>
          <w:sz w:val="24"/>
          <w:szCs w:val="24"/>
          <w:lang w:eastAsia="it-IT"/>
        </w:rPr>
        <w:t xml:space="preserve"> &gt; Documenti </w:t>
      </w:r>
    </w:p>
    <w:p w14:paraId="4EE70A1E" w14:textId="68AECC94"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noProof/>
          <w:color w:val="0000FF"/>
          <w:sz w:val="24"/>
          <w:szCs w:val="24"/>
          <w:lang w:eastAsia="it-IT"/>
        </w:rPr>
        <w:drawing>
          <wp:inline distT="0" distB="0" distL="0" distR="0" wp14:anchorId="2E30EE2D" wp14:editId="163775CC">
            <wp:extent cx="152400" cy="238125"/>
            <wp:effectExtent l="0" t="0" r="0" b="9525"/>
            <wp:docPr id="27" name="Immagine 2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1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107C0FB8"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hyperlink r:id="rId22" w:tgtFrame="_blank" w:history="1">
        <w:r w:rsidRPr="00807A92">
          <w:rPr>
            <w:rFonts w:ascii="Times New Roman" w:eastAsia="Times New Roman" w:hAnsi="Times New Roman" w:cs="Times New Roman"/>
            <w:color w:val="0000FF"/>
            <w:sz w:val="24"/>
            <w:szCs w:val="24"/>
            <w:u w:val="single"/>
            <w:lang w:eastAsia="it-IT"/>
          </w:rPr>
          <w:t>Avvia la stampa</w:t>
        </w:r>
      </w:hyperlink>
      <w:r w:rsidRPr="00807A92">
        <w:rPr>
          <w:rFonts w:ascii="Times New Roman" w:eastAsia="Times New Roman" w:hAnsi="Times New Roman" w:cs="Times New Roman"/>
          <w:sz w:val="24"/>
          <w:szCs w:val="24"/>
          <w:lang w:eastAsia="it-IT"/>
        </w:rPr>
        <w:t xml:space="preserve"> </w:t>
      </w:r>
    </w:p>
    <w:p w14:paraId="0273D220"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 xml:space="preserve">Lingua del documento : </w:t>
      </w:r>
    </w:p>
    <w:p w14:paraId="3050C5A8" w14:textId="77777777" w:rsidR="00807A92" w:rsidRPr="00807A92" w:rsidRDefault="00807A92" w:rsidP="00807A92">
      <w:pPr>
        <w:pBdr>
          <w:bottom w:val="single" w:sz="6" w:space="1" w:color="auto"/>
        </w:pBdr>
        <w:spacing w:after="0" w:line="240" w:lineRule="auto"/>
        <w:jc w:val="center"/>
        <w:rPr>
          <w:rFonts w:ascii="Arial" w:eastAsia="Times New Roman" w:hAnsi="Arial" w:cs="Arial"/>
          <w:vanish/>
          <w:sz w:val="16"/>
          <w:szCs w:val="16"/>
          <w:lang w:eastAsia="it-IT"/>
        </w:rPr>
      </w:pPr>
      <w:r w:rsidRPr="00807A92">
        <w:rPr>
          <w:rFonts w:ascii="Arial" w:eastAsia="Times New Roman" w:hAnsi="Arial" w:cs="Arial"/>
          <w:vanish/>
          <w:sz w:val="16"/>
          <w:szCs w:val="16"/>
          <w:lang w:eastAsia="it-IT"/>
        </w:rPr>
        <w:t>Inizio modulo</w:t>
      </w:r>
    </w:p>
    <w:p w14:paraId="25BB8212"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 xml:space="preserve">ECLI:EU:C:2021:291 </w:t>
      </w:r>
    </w:p>
    <w:p w14:paraId="2579B453"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p>
    <w:p w14:paraId="4907881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Provisional text</w:t>
      </w:r>
    </w:p>
    <w:p w14:paraId="40FC3C6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OPINION OF ADVOCATE GENERAL</w:t>
      </w:r>
    </w:p>
    <w:p w14:paraId="27A562A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BOBEK</w:t>
      </w:r>
    </w:p>
    <w:p w14:paraId="0EC58AF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delivered on 15 April 2021(</w:t>
      </w:r>
      <w:bookmarkStart w:id="1" w:name="Footref1"/>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w:t>
      </w:r>
      <w:r w:rsidRPr="00807A92">
        <w:rPr>
          <w:rFonts w:ascii="Times New Roman" w:eastAsia="Times New Roman" w:hAnsi="Times New Roman" w:cs="Times New Roman"/>
          <w:sz w:val="24"/>
          <w:szCs w:val="24"/>
          <w:lang w:eastAsia="it-IT"/>
        </w:rPr>
        <w:fldChar w:fldCharType="end"/>
      </w:r>
      <w:bookmarkEnd w:id="1"/>
      <w:r w:rsidRPr="00807A92">
        <w:rPr>
          <w:rFonts w:ascii="Times New Roman" w:eastAsia="Times New Roman" w:hAnsi="Times New Roman" w:cs="Times New Roman"/>
          <w:sz w:val="24"/>
          <w:szCs w:val="24"/>
          <w:lang w:eastAsia="it-IT"/>
        </w:rPr>
        <w:t>)</w:t>
      </w:r>
    </w:p>
    <w:p w14:paraId="4B70DC5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b/>
          <w:bCs/>
          <w:sz w:val="24"/>
          <w:szCs w:val="24"/>
          <w:lang w:eastAsia="it-IT"/>
        </w:rPr>
        <w:t>Case C</w:t>
      </w:r>
      <w:r w:rsidRPr="00807A92">
        <w:rPr>
          <w:rFonts w:ascii="Times New Roman" w:eastAsia="Times New Roman" w:hAnsi="Times New Roman" w:cs="Times New Roman"/>
          <w:sz w:val="24"/>
          <w:szCs w:val="24"/>
          <w:lang w:eastAsia="it-IT"/>
        </w:rPr>
        <w:noBreakHyphen/>
      </w:r>
      <w:r w:rsidRPr="00807A92">
        <w:rPr>
          <w:rFonts w:ascii="Times New Roman" w:eastAsia="Times New Roman" w:hAnsi="Times New Roman" w:cs="Times New Roman"/>
          <w:b/>
          <w:bCs/>
          <w:sz w:val="24"/>
          <w:szCs w:val="24"/>
          <w:lang w:eastAsia="it-IT"/>
        </w:rPr>
        <w:t>561/19</w:t>
      </w:r>
    </w:p>
    <w:p w14:paraId="43C2527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b/>
          <w:bCs/>
          <w:sz w:val="24"/>
          <w:szCs w:val="24"/>
          <w:lang w:eastAsia="it-IT"/>
        </w:rPr>
        <w:t>Consorzio Italian Management,</w:t>
      </w:r>
    </w:p>
    <w:p w14:paraId="10E397E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b/>
          <w:bCs/>
          <w:sz w:val="24"/>
          <w:szCs w:val="24"/>
          <w:lang w:eastAsia="it-IT"/>
        </w:rPr>
        <w:t>Catania Multiservizi SpA</w:t>
      </w:r>
    </w:p>
    <w:p w14:paraId="06470A2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b/>
          <w:bCs/>
          <w:sz w:val="24"/>
          <w:szCs w:val="24"/>
          <w:lang w:eastAsia="it-IT"/>
        </w:rPr>
        <w:t>v</w:t>
      </w:r>
    </w:p>
    <w:p w14:paraId="6E5D4B7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b/>
          <w:bCs/>
          <w:sz w:val="24"/>
          <w:szCs w:val="24"/>
          <w:lang w:eastAsia="it-IT"/>
        </w:rPr>
        <w:t>Rete Ferroviaria Italiana SpA</w:t>
      </w:r>
    </w:p>
    <w:p w14:paraId="0C24F12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(Request for a preliminary ruling from the Consiglio di Stato (Council of State, Italy))</w:t>
      </w:r>
    </w:p>
    <w:p w14:paraId="0043D4E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t>(Reference for a preliminary ruling – third paragraph of Article 267 TFEU – Court or tribunal of a Member State against whose decisions there is no judicial remedy under national law – Duty to refer – Scope – Exceptions and criteria deriving from the judgment in CILFIT and Others)</w:t>
      </w:r>
    </w:p>
    <w:p w14:paraId="454BB886" w14:textId="77777777" w:rsidR="00807A92" w:rsidRPr="00807A92" w:rsidRDefault="00807A92" w:rsidP="00807A92">
      <w:pPr>
        <w:spacing w:after="24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br/>
      </w:r>
      <w:r w:rsidRPr="00807A92">
        <w:rPr>
          <w:rFonts w:ascii="Times New Roman" w:eastAsia="Times New Roman" w:hAnsi="Times New Roman" w:cs="Times New Roman"/>
          <w:sz w:val="24"/>
          <w:szCs w:val="24"/>
          <w:lang w:eastAsia="it-IT"/>
        </w:rPr>
        <w:br/>
      </w:r>
    </w:p>
    <w:p w14:paraId="04F2CA4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p>
    <w:p w14:paraId="714675E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Table of contents</w:t>
      </w:r>
    </w:p>
    <w:p w14:paraId="3726320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p>
    <w:p w14:paraId="4F59196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I. Introduction</w:t>
      </w:r>
    </w:p>
    <w:p w14:paraId="2830FB8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II. Legal framework</w:t>
      </w:r>
    </w:p>
    <w:p w14:paraId="7A2E6C3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III. Facts, national proceedings and the questions referred</w:t>
      </w:r>
    </w:p>
    <w:p w14:paraId="61F9813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IV. Assessment</w:t>
      </w:r>
    </w:p>
    <w:p w14:paraId="3BDE3C7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A. The layers</w:t>
      </w:r>
    </w:p>
    <w:p w14:paraId="57C3AC1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1. The outer layer: it is always for the national court to decide</w:t>
      </w:r>
    </w:p>
    <w:p w14:paraId="08AE44B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2. The deeper layer: should all questions really be referred?</w:t>
      </w:r>
    </w:p>
    <w:p w14:paraId="208F60E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B. CILFIT (and its progeny)</w:t>
      </w:r>
    </w:p>
    <w:p w14:paraId="37851C6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1. The reasons for the duty to refer</w:t>
      </w:r>
    </w:p>
    <w:p w14:paraId="089FE59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2. The exceptions to the duty</w:t>
      </w:r>
    </w:p>
    <w:p w14:paraId="793714C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3. The subsequent application practice (of this Court)</w:t>
      </w:r>
    </w:p>
    <w:p w14:paraId="512561C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C. The problems with CILFIT</w:t>
      </w:r>
    </w:p>
    <w:p w14:paraId="2225B5D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1. Conceptual</w:t>
      </w:r>
    </w:p>
    <w:p w14:paraId="1BBDADB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2. Feasibility</w:t>
      </w:r>
    </w:p>
    <w:p w14:paraId="56BDBFD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3. Systemic coherence of EU law remedies</w:t>
      </w:r>
    </w:p>
    <w:p w14:paraId="4876433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4. The evolution of EU law and the judicial system</w:t>
      </w:r>
    </w:p>
    <w:p w14:paraId="7BFDB58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5. Interim summary</w:t>
      </w:r>
    </w:p>
    <w:p w14:paraId="4F2AC5E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D. The proposal</w:t>
      </w:r>
    </w:p>
    <w:p w14:paraId="36F612B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1. A general or generalisable issue of interpretation of EU law</w:t>
      </w:r>
    </w:p>
    <w:p w14:paraId="1937F4D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t>2. More reasonably possible interpretations</w:t>
      </w:r>
    </w:p>
    <w:p w14:paraId="12B9464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3. No case-law of the Court of Justice</w:t>
      </w:r>
    </w:p>
    <w:p w14:paraId="68C91D8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4. The duty to state reasons (and the open question of enforcement of the duty to refer)</w:t>
      </w:r>
    </w:p>
    <w:p w14:paraId="067DBB4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V. Conclusion</w:t>
      </w:r>
    </w:p>
    <w:p w14:paraId="20873FD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p>
    <w:p w14:paraId="7FA987F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I.      </w:t>
      </w:r>
      <w:r w:rsidRPr="00807A92">
        <w:rPr>
          <w:rFonts w:ascii="Times New Roman" w:eastAsia="Times New Roman" w:hAnsi="Times New Roman" w:cs="Times New Roman"/>
          <w:b/>
          <w:bCs/>
          <w:sz w:val="24"/>
          <w:szCs w:val="24"/>
          <w:lang w:eastAsia="it-IT"/>
        </w:rPr>
        <w:t>Introduction</w:t>
      </w:r>
    </w:p>
    <w:p w14:paraId="25D17BD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807A92">
        <w:rPr>
          <w:rFonts w:ascii="Times New Roman" w:eastAsia="Times New Roman" w:hAnsi="Times New Roman" w:cs="Times New Roman"/>
          <w:sz w:val="24"/>
          <w:szCs w:val="24"/>
          <w:lang w:eastAsia="it-IT"/>
        </w:rPr>
        <w:t>1.</w:t>
      </w:r>
      <w:bookmarkEnd w:id="2"/>
      <w:r w:rsidRPr="00807A92">
        <w:rPr>
          <w:rFonts w:ascii="Times New Roman" w:eastAsia="Times New Roman" w:hAnsi="Times New Roman" w:cs="Times New Roman"/>
          <w:sz w:val="24"/>
          <w:szCs w:val="24"/>
          <w:lang w:eastAsia="it-IT"/>
        </w:rPr>
        <w:t xml:space="preserve">        In contrast to national courts of last instance, I suspect that students of EU law have always rather liked the judgment in </w:t>
      </w:r>
      <w:r w:rsidRPr="00807A92">
        <w:rPr>
          <w:rFonts w:ascii="Times New Roman" w:eastAsia="Times New Roman" w:hAnsi="Times New Roman" w:cs="Times New Roman"/>
          <w:i/>
          <w:iCs/>
          <w:sz w:val="24"/>
          <w:szCs w:val="24"/>
          <w:lang w:eastAsia="it-IT"/>
        </w:rPr>
        <w:t>CILFIT and Others</w:t>
      </w:r>
      <w:r w:rsidRPr="00807A92">
        <w:rPr>
          <w:rFonts w:ascii="Times New Roman" w:eastAsia="Times New Roman" w:hAnsi="Times New Roman" w:cs="Times New Roman"/>
          <w:sz w:val="24"/>
          <w:szCs w:val="24"/>
          <w:lang w:eastAsia="it-IT"/>
        </w:rPr>
        <w:t>. (</w:t>
      </w:r>
      <w:bookmarkStart w:id="3" w:name="Footref2"/>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w:t>
      </w:r>
      <w:r w:rsidRPr="00807A92">
        <w:rPr>
          <w:rFonts w:ascii="Times New Roman" w:eastAsia="Times New Roman" w:hAnsi="Times New Roman" w:cs="Times New Roman"/>
          <w:sz w:val="24"/>
          <w:szCs w:val="24"/>
          <w:lang w:eastAsia="it-IT"/>
        </w:rPr>
        <w:fldChar w:fldCharType="end"/>
      </w:r>
      <w:bookmarkEnd w:id="3"/>
      <w:r w:rsidRPr="00807A92">
        <w:rPr>
          <w:rFonts w:ascii="Times New Roman" w:eastAsia="Times New Roman" w:hAnsi="Times New Roman" w:cs="Times New Roman"/>
          <w:sz w:val="24"/>
          <w:szCs w:val="24"/>
          <w:lang w:eastAsia="it-IT"/>
        </w:rPr>
        <w:t>) In the course of the last decade or two, the hearts of many EU law students were likely to pound with a sudden flush of joy and relief upon seeing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‘exceptions to the duty to refer’, and ‘discuss’ on their exam paper or essay assignment. Indeed, questioning the feasibility of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exceptions to the duty to make a reference for a preliminary ruling, particularly the exception relating to the absence of any reasonable doubt on the part of the national court of last instance, is perhaps not the most demanding argumentative exercise. Are those courts really required to compare (all) the equally authentic language versions of EU law? How are they, in practical terms, supposed to determine whether the matter is equally obvious to the courts of other Member States and to the Court of Justice? </w:t>
      </w:r>
    </w:p>
    <w:p w14:paraId="7089165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2"/>
      <w:r w:rsidRPr="00807A92">
        <w:rPr>
          <w:rFonts w:ascii="Times New Roman" w:eastAsia="Times New Roman" w:hAnsi="Times New Roman" w:cs="Times New Roman"/>
          <w:sz w:val="24"/>
          <w:szCs w:val="24"/>
          <w:lang w:eastAsia="it-IT"/>
        </w:rPr>
        <w:t>2.</w:t>
      </w:r>
      <w:bookmarkEnd w:id="4"/>
      <w:r w:rsidRPr="00807A92">
        <w:rPr>
          <w:rFonts w:ascii="Times New Roman" w:eastAsia="Times New Roman" w:hAnsi="Times New Roman" w:cs="Times New Roman"/>
          <w:sz w:val="24"/>
          <w:szCs w:val="24"/>
          <w:lang w:eastAsia="it-IT"/>
        </w:rPr>
        <w:t xml:space="preserve">        For a number of years, the duty to refer a question for a preliminary ruling pursuant to the third paragraph of Article 267 TFEU, the exceptions to that duty, and above all its enforcement, have been the metaphorical sleeping dogs of EU law. We are all aware that they are there. We are all able to discuss or even write scholarly treatises about them. However, in real life, it is best that they be left undisturbed. Pragmatically (or cynically) speaking, the entire system of preliminary rulings functions because no one in fact applies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certainly not to its letter. Often, the idea of a dog is better than having to deal with the living animal.</w:t>
      </w:r>
    </w:p>
    <w:p w14:paraId="562BC22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3"/>
      <w:r w:rsidRPr="00807A92">
        <w:rPr>
          <w:rFonts w:ascii="Times New Roman" w:eastAsia="Times New Roman" w:hAnsi="Times New Roman" w:cs="Times New Roman"/>
          <w:sz w:val="24"/>
          <w:szCs w:val="24"/>
          <w:lang w:eastAsia="it-IT"/>
        </w:rPr>
        <w:t>3.</w:t>
      </w:r>
      <w:bookmarkEnd w:id="5"/>
      <w:r w:rsidRPr="00807A92">
        <w:rPr>
          <w:rFonts w:ascii="Times New Roman" w:eastAsia="Times New Roman" w:hAnsi="Times New Roman" w:cs="Times New Roman"/>
          <w:sz w:val="24"/>
          <w:szCs w:val="24"/>
          <w:lang w:eastAsia="it-IT"/>
        </w:rPr>
        <w:t xml:space="preserve">        For number of reasons set out in this Opinion, I suggest to the Court that it is time to revisit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file. My proposal in this regard is rather simple: to adapt the duty to refer under the third paragraph of Article 267 TFEU and likewise the exceptions to it, so that they reflect the needs of the current EU law judicial system, and so that they can then be realistically applied (and, possibly one day, enforced). </w:t>
      </w:r>
    </w:p>
    <w:p w14:paraId="67C4406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4"/>
      <w:r w:rsidRPr="00807A92">
        <w:rPr>
          <w:rFonts w:ascii="Times New Roman" w:eastAsia="Times New Roman" w:hAnsi="Times New Roman" w:cs="Times New Roman"/>
          <w:sz w:val="24"/>
          <w:szCs w:val="24"/>
          <w:lang w:eastAsia="it-IT"/>
        </w:rPr>
        <w:t>4.</w:t>
      </w:r>
      <w:bookmarkEnd w:id="6"/>
      <w:r w:rsidRPr="00807A92">
        <w:rPr>
          <w:rFonts w:ascii="Times New Roman" w:eastAsia="Times New Roman" w:hAnsi="Times New Roman" w:cs="Times New Roman"/>
          <w:sz w:val="24"/>
          <w:szCs w:val="24"/>
          <w:lang w:eastAsia="it-IT"/>
        </w:rPr>
        <w:t xml:space="preserve">        However, the process of adaptation suggested requires a major paradigm shift. The logic and the focus of the duty to refer and the exceptions to it ought to change from the absence of any reasonable doubt as to the correct </w:t>
      </w:r>
      <w:r w:rsidRPr="00807A92">
        <w:rPr>
          <w:rFonts w:ascii="Times New Roman" w:eastAsia="Times New Roman" w:hAnsi="Times New Roman" w:cs="Times New Roman"/>
          <w:i/>
          <w:iCs/>
          <w:sz w:val="24"/>
          <w:szCs w:val="24"/>
          <w:lang w:eastAsia="it-IT"/>
        </w:rPr>
        <w:t>application</w:t>
      </w:r>
      <w:r w:rsidRPr="00807A92">
        <w:rPr>
          <w:rFonts w:ascii="Times New Roman" w:eastAsia="Times New Roman" w:hAnsi="Times New Roman" w:cs="Times New Roman"/>
          <w:sz w:val="24"/>
          <w:szCs w:val="24"/>
          <w:lang w:eastAsia="it-IT"/>
        </w:rPr>
        <w:t xml:space="preserve"> of EU law in an </w:t>
      </w:r>
      <w:r w:rsidRPr="00807A92">
        <w:rPr>
          <w:rFonts w:ascii="Times New Roman" w:eastAsia="Times New Roman" w:hAnsi="Times New Roman" w:cs="Times New Roman"/>
          <w:i/>
          <w:iCs/>
          <w:sz w:val="24"/>
          <w:szCs w:val="24"/>
          <w:lang w:eastAsia="it-IT"/>
        </w:rPr>
        <w:t>individual</w:t>
      </w:r>
      <w:r w:rsidRPr="00807A92">
        <w:rPr>
          <w:rFonts w:ascii="Times New Roman" w:eastAsia="Times New Roman" w:hAnsi="Times New Roman" w:cs="Times New Roman"/>
          <w:sz w:val="24"/>
          <w:szCs w:val="24"/>
          <w:lang w:eastAsia="it-IT"/>
        </w:rPr>
        <w:t xml:space="preserve"> case, evidenced by there being </w:t>
      </w:r>
      <w:r w:rsidRPr="00807A92">
        <w:rPr>
          <w:rFonts w:ascii="Times New Roman" w:eastAsia="Times New Roman" w:hAnsi="Times New Roman" w:cs="Times New Roman"/>
          <w:i/>
          <w:iCs/>
          <w:sz w:val="24"/>
          <w:szCs w:val="24"/>
          <w:lang w:eastAsia="it-IT"/>
        </w:rPr>
        <w:t>subjective</w:t>
      </w:r>
      <w:r w:rsidRPr="00807A92">
        <w:rPr>
          <w:rFonts w:ascii="Times New Roman" w:eastAsia="Times New Roman" w:hAnsi="Times New Roman" w:cs="Times New Roman"/>
          <w:sz w:val="24"/>
          <w:szCs w:val="24"/>
          <w:lang w:eastAsia="it-IT"/>
        </w:rPr>
        <w:t xml:space="preserve"> judicial doubt, to a more </w:t>
      </w:r>
      <w:r w:rsidRPr="00807A92">
        <w:rPr>
          <w:rFonts w:ascii="Times New Roman" w:eastAsia="Times New Roman" w:hAnsi="Times New Roman" w:cs="Times New Roman"/>
          <w:i/>
          <w:iCs/>
          <w:sz w:val="24"/>
          <w:szCs w:val="24"/>
          <w:lang w:eastAsia="it-IT"/>
        </w:rPr>
        <w:t>objective</w:t>
      </w:r>
      <w:r w:rsidRPr="00807A92">
        <w:rPr>
          <w:rFonts w:ascii="Times New Roman" w:eastAsia="Times New Roman" w:hAnsi="Times New Roman" w:cs="Times New Roman"/>
          <w:sz w:val="24"/>
          <w:szCs w:val="24"/>
          <w:lang w:eastAsia="it-IT"/>
        </w:rPr>
        <w:t xml:space="preserve"> imperative of securing uniform </w:t>
      </w:r>
      <w:r w:rsidRPr="00807A92">
        <w:rPr>
          <w:rFonts w:ascii="Times New Roman" w:eastAsia="Times New Roman" w:hAnsi="Times New Roman" w:cs="Times New Roman"/>
          <w:i/>
          <w:iCs/>
          <w:sz w:val="24"/>
          <w:szCs w:val="24"/>
          <w:lang w:eastAsia="it-IT"/>
        </w:rPr>
        <w:t>interpretation</w:t>
      </w:r>
      <w:r w:rsidRPr="00807A92">
        <w:rPr>
          <w:rFonts w:ascii="Times New Roman" w:eastAsia="Times New Roman" w:hAnsi="Times New Roman" w:cs="Times New Roman"/>
          <w:sz w:val="24"/>
          <w:szCs w:val="24"/>
          <w:lang w:eastAsia="it-IT"/>
        </w:rPr>
        <w:t xml:space="preserve"> of EU law across the European Union. In other words, the duty to refer a question for a preliminary ruling should not be focused primarily on the correct answers, but rather on identifying the right questions. </w:t>
      </w:r>
    </w:p>
    <w:p w14:paraId="6EE6F73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II.    </w:t>
      </w:r>
      <w:r w:rsidRPr="00807A92">
        <w:rPr>
          <w:rFonts w:ascii="Times New Roman" w:eastAsia="Times New Roman" w:hAnsi="Times New Roman" w:cs="Times New Roman"/>
          <w:b/>
          <w:bCs/>
          <w:sz w:val="24"/>
          <w:szCs w:val="24"/>
          <w:lang w:eastAsia="it-IT"/>
        </w:rPr>
        <w:t>Legal framework</w:t>
      </w:r>
    </w:p>
    <w:p w14:paraId="2DA716B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5"/>
      <w:r w:rsidRPr="00807A92">
        <w:rPr>
          <w:rFonts w:ascii="Times New Roman" w:eastAsia="Times New Roman" w:hAnsi="Times New Roman" w:cs="Times New Roman"/>
          <w:sz w:val="24"/>
          <w:szCs w:val="24"/>
          <w:lang w:eastAsia="it-IT"/>
        </w:rPr>
        <w:t>5.</w:t>
      </w:r>
      <w:bookmarkEnd w:id="7"/>
      <w:r w:rsidRPr="00807A92">
        <w:rPr>
          <w:rFonts w:ascii="Times New Roman" w:eastAsia="Times New Roman" w:hAnsi="Times New Roman" w:cs="Times New Roman"/>
          <w:sz w:val="24"/>
          <w:szCs w:val="24"/>
          <w:lang w:eastAsia="it-IT"/>
        </w:rPr>
        <w:t>        Pursuant to Article 267 TFEU:</w:t>
      </w:r>
    </w:p>
    <w:p w14:paraId="7E1EDED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t>‘The Court of Justice of the European Union shall have jurisdiction to give preliminary rulings concerning:</w:t>
      </w:r>
    </w:p>
    <w:p w14:paraId="0158BE9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(a) the interpretation of the Treaties;</w:t>
      </w:r>
    </w:p>
    <w:p w14:paraId="4493AB4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(b) the validity and interpretation of acts of the institutions, bodies, offices or agencies of the Union;</w:t>
      </w:r>
    </w:p>
    <w:p w14:paraId="701F6EA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Where such a question is raised before any court or tribunal of a Member State, that court or tribunal may, if it considers that a decision on the question is necessary to enable it to give judgment, request the Court to give a ruling thereon.</w:t>
      </w:r>
    </w:p>
    <w:p w14:paraId="00E5057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Where any such question is raised in a case pending before a court or tribunal of a Member State against whose decisions there is no judicial remedy under national law, that court or tribunal shall bring the matter before the Court.</w:t>
      </w:r>
    </w:p>
    <w:p w14:paraId="6D1059F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w:t>
      </w:r>
    </w:p>
    <w:p w14:paraId="27580C2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6"/>
      <w:r w:rsidRPr="00807A92">
        <w:rPr>
          <w:rFonts w:ascii="Times New Roman" w:eastAsia="Times New Roman" w:hAnsi="Times New Roman" w:cs="Times New Roman"/>
          <w:sz w:val="24"/>
          <w:szCs w:val="24"/>
          <w:lang w:eastAsia="it-IT"/>
        </w:rPr>
        <w:t>6.</w:t>
      </w:r>
      <w:bookmarkEnd w:id="8"/>
      <w:r w:rsidRPr="00807A92">
        <w:rPr>
          <w:rFonts w:ascii="Times New Roman" w:eastAsia="Times New Roman" w:hAnsi="Times New Roman" w:cs="Times New Roman"/>
          <w:sz w:val="24"/>
          <w:szCs w:val="24"/>
          <w:lang w:eastAsia="it-IT"/>
        </w:rPr>
        <w:t>        Article 99 of the Rules of Procedure of the Court of Justice states:</w:t>
      </w:r>
    </w:p>
    <w:p w14:paraId="77D64A9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‘Where a question referred to the Court for a preliminary ruling is identical to a question on which the Court has already ruled, where the reply to such a question may be clearly deduced from existing case-law or where the answer to the question referred for a preliminary ruling admits of no reasonable doubt, the Court may at any time, on a proposal from the Judge-Rapporteur and after hearing the Advocate General, decide to rule by reasoned order.’</w:t>
      </w:r>
    </w:p>
    <w:p w14:paraId="72F885A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III. </w:t>
      </w:r>
      <w:r w:rsidRPr="00807A92">
        <w:rPr>
          <w:rFonts w:ascii="Times New Roman" w:eastAsia="Times New Roman" w:hAnsi="Times New Roman" w:cs="Times New Roman"/>
          <w:b/>
          <w:bCs/>
          <w:sz w:val="24"/>
          <w:szCs w:val="24"/>
          <w:lang w:eastAsia="it-IT"/>
        </w:rPr>
        <w:t>Facts, national proceedings and the questions referred</w:t>
      </w:r>
    </w:p>
    <w:p w14:paraId="432D43B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7"/>
      <w:r w:rsidRPr="00807A92">
        <w:rPr>
          <w:rFonts w:ascii="Times New Roman" w:eastAsia="Times New Roman" w:hAnsi="Times New Roman" w:cs="Times New Roman"/>
          <w:sz w:val="24"/>
          <w:szCs w:val="24"/>
          <w:lang w:eastAsia="it-IT"/>
        </w:rPr>
        <w:t>7.</w:t>
      </w:r>
      <w:bookmarkEnd w:id="9"/>
      <w:r w:rsidRPr="00807A92">
        <w:rPr>
          <w:rFonts w:ascii="Times New Roman" w:eastAsia="Times New Roman" w:hAnsi="Times New Roman" w:cs="Times New Roman"/>
          <w:sz w:val="24"/>
          <w:szCs w:val="24"/>
          <w:lang w:eastAsia="it-IT"/>
        </w:rPr>
        <w:t xml:space="preserve">        On 23 February 2006, Consorzio Italian Management and Catania Multiservizi SpA (‘the applicants’) were awarded, by Rete Ferroviaria Italiana SpA (‘RFI’), a contract for ‘services relating to the cleaning and maintenance of the decoration of the premises and other areas which are open to the public, as well as ancillary services in stations, plants, offices and workshops at various sites throughout the territory covered by the Direzione compartimentale movimento di Cagliari [(Cagliari Regional Operations Division, Italy)]’. </w:t>
      </w:r>
    </w:p>
    <w:p w14:paraId="3A8CC0A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8"/>
      <w:r w:rsidRPr="00807A92">
        <w:rPr>
          <w:rFonts w:ascii="Times New Roman" w:eastAsia="Times New Roman" w:hAnsi="Times New Roman" w:cs="Times New Roman"/>
          <w:sz w:val="24"/>
          <w:szCs w:val="24"/>
          <w:lang w:eastAsia="it-IT"/>
        </w:rPr>
        <w:t>8.</w:t>
      </w:r>
      <w:bookmarkEnd w:id="10"/>
      <w:r w:rsidRPr="00807A92">
        <w:rPr>
          <w:rFonts w:ascii="Times New Roman" w:eastAsia="Times New Roman" w:hAnsi="Times New Roman" w:cs="Times New Roman"/>
          <w:sz w:val="24"/>
          <w:szCs w:val="24"/>
          <w:lang w:eastAsia="it-IT"/>
        </w:rPr>
        <w:t>        That contract contained a clause limiting price review. During the performance of the contract, the applicants requested RFI to adjust the contract price due to an alleged increase in contractual costs arising from an increase in staff costs. RFI refused.</w:t>
      </w:r>
    </w:p>
    <w:p w14:paraId="44C72DA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9"/>
      <w:r w:rsidRPr="00807A92">
        <w:rPr>
          <w:rFonts w:ascii="Times New Roman" w:eastAsia="Times New Roman" w:hAnsi="Times New Roman" w:cs="Times New Roman"/>
          <w:sz w:val="24"/>
          <w:szCs w:val="24"/>
          <w:lang w:eastAsia="it-IT"/>
        </w:rPr>
        <w:t>9.</w:t>
      </w:r>
      <w:bookmarkEnd w:id="11"/>
      <w:r w:rsidRPr="00807A92">
        <w:rPr>
          <w:rFonts w:ascii="Times New Roman" w:eastAsia="Times New Roman" w:hAnsi="Times New Roman" w:cs="Times New Roman"/>
          <w:sz w:val="24"/>
          <w:szCs w:val="24"/>
          <w:lang w:eastAsia="it-IT"/>
        </w:rPr>
        <w:t>        The applicants brought an action against RFI before the Tribunale amministrativo regionale per la Sardegna (Regional Administrative Court, Sardinia, Italy; ‘the TAR’). By judgment of 11 June 2014, the TAR dismissed the action. It found that Article 115 of Legislative Decree No 163/2006 was not applicable to activities falling within the special sectors, such as cleaning services, when they form an essential part of the railway transport network. The TAR also found that price review was not mandatory under Article 1664 of the Codice Civile (Civil Code) and that the parties could derogate from that rule.</w:t>
      </w:r>
    </w:p>
    <w:p w14:paraId="282ED32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0"/>
      <w:r w:rsidRPr="00807A92">
        <w:rPr>
          <w:rFonts w:ascii="Times New Roman" w:eastAsia="Times New Roman" w:hAnsi="Times New Roman" w:cs="Times New Roman"/>
          <w:sz w:val="24"/>
          <w:szCs w:val="24"/>
          <w:lang w:eastAsia="it-IT"/>
        </w:rPr>
        <w:t>10.</w:t>
      </w:r>
      <w:bookmarkEnd w:id="12"/>
      <w:r w:rsidRPr="00807A92">
        <w:rPr>
          <w:rFonts w:ascii="Times New Roman" w:eastAsia="Times New Roman" w:hAnsi="Times New Roman" w:cs="Times New Roman"/>
          <w:sz w:val="24"/>
          <w:szCs w:val="24"/>
          <w:lang w:eastAsia="it-IT"/>
        </w:rPr>
        <w:t>      The applicants lodged an appeal against that judgment before the Consiglio di Stato (Council of State, Italy). They argued that Article 115 of Legislative Decree No 163/2006 or, in the alternative, Article 1664 of the Civil Code were applicable. Moreover, in their view, the national rules infringed Directive 2004/17/EC (</w:t>
      </w:r>
      <w:bookmarkStart w:id="13" w:name="Footref3"/>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w:t>
      </w:r>
      <w:r w:rsidRPr="00807A92">
        <w:rPr>
          <w:rFonts w:ascii="Times New Roman" w:eastAsia="Times New Roman" w:hAnsi="Times New Roman" w:cs="Times New Roman"/>
          <w:sz w:val="24"/>
          <w:szCs w:val="24"/>
          <w:lang w:eastAsia="it-IT"/>
        </w:rPr>
        <w:fldChar w:fldCharType="end"/>
      </w:r>
      <w:bookmarkEnd w:id="13"/>
      <w:r w:rsidRPr="00807A92">
        <w:rPr>
          <w:rFonts w:ascii="Times New Roman" w:eastAsia="Times New Roman" w:hAnsi="Times New Roman" w:cs="Times New Roman"/>
          <w:sz w:val="24"/>
          <w:szCs w:val="24"/>
          <w:lang w:eastAsia="it-IT"/>
        </w:rPr>
        <w:t xml:space="preserve">) in so far as they resulted in the exclusion of the review of prices in the transport sector and in related cleaning contracts. Those rules gave rise to an unfair and </w:t>
      </w:r>
      <w:r w:rsidRPr="00807A92">
        <w:rPr>
          <w:rFonts w:ascii="Times New Roman" w:eastAsia="Times New Roman" w:hAnsi="Times New Roman" w:cs="Times New Roman"/>
          <w:sz w:val="24"/>
          <w:szCs w:val="24"/>
          <w:lang w:eastAsia="it-IT"/>
        </w:rPr>
        <w:lastRenderedPageBreak/>
        <w:t>disproportionate contractual imbalance, ultimately distorting the rules governing the functioning of the market. Were Directive 2004/17 to be interpreted as excluding the review of prices in all contracts concluded and implemented within the special sectors, it would then be invalid.</w:t>
      </w:r>
    </w:p>
    <w:p w14:paraId="2767728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1"/>
      <w:r w:rsidRPr="00807A92">
        <w:rPr>
          <w:rFonts w:ascii="Times New Roman" w:eastAsia="Times New Roman" w:hAnsi="Times New Roman" w:cs="Times New Roman"/>
          <w:sz w:val="24"/>
          <w:szCs w:val="24"/>
          <w:lang w:eastAsia="it-IT"/>
        </w:rPr>
        <w:t>11.</w:t>
      </w:r>
      <w:bookmarkEnd w:id="14"/>
      <w:r w:rsidRPr="00807A92">
        <w:rPr>
          <w:rFonts w:ascii="Times New Roman" w:eastAsia="Times New Roman" w:hAnsi="Times New Roman" w:cs="Times New Roman"/>
          <w:sz w:val="24"/>
          <w:szCs w:val="24"/>
          <w:lang w:eastAsia="it-IT"/>
        </w:rPr>
        <w:t>      Against that background, on 24 November 2016, the Consiglio di Stato (Council of State) referred the following two questions to the Court of Justice for a preliminary ruling:</w:t>
      </w:r>
    </w:p>
    <w:p w14:paraId="46A2A74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‘(1)      Is an interpretation of national law that excludes price review in contracts relating to “special sectors”, particularly as regards contracts with a different object from those to which Directive [2004/17] refers, but which are functionally linked to those sectors, compatible with EU law, in particular, Article 3(3) TEU, Articles 26, 56 to 58 and 101 TFEU, and Article 16 of the Charter of Fundamental Rights of the European Union and Directive [2004/17]?</w:t>
      </w:r>
    </w:p>
    <w:p w14:paraId="68F8F62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(2)      Is Directive [2004/17] (if it should be considered that price review may be excluded, in all contracts concluded and implemented within “special sectors”, as a direct result of that directive) compatible with the principles of the European Union, in particular Article 3(1) TEU, Articles 26, 56 to 58 and 101 TFEU, and Article 16 of the Charter of Fundamental Rights of the European Union, “in the light of the unfairness, disproportionality and distortion of contractual balance and, therefore, of the rules governing an efficient market”?’</w:t>
      </w:r>
    </w:p>
    <w:p w14:paraId="32085DC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2"/>
      <w:r w:rsidRPr="00807A92">
        <w:rPr>
          <w:rFonts w:ascii="Times New Roman" w:eastAsia="Times New Roman" w:hAnsi="Times New Roman" w:cs="Times New Roman"/>
          <w:sz w:val="24"/>
          <w:szCs w:val="24"/>
          <w:lang w:eastAsia="it-IT"/>
        </w:rPr>
        <w:t>12.</w:t>
      </w:r>
      <w:bookmarkEnd w:id="15"/>
      <w:r w:rsidRPr="00807A92">
        <w:rPr>
          <w:rFonts w:ascii="Times New Roman" w:eastAsia="Times New Roman" w:hAnsi="Times New Roman" w:cs="Times New Roman"/>
          <w:sz w:val="24"/>
          <w:szCs w:val="24"/>
          <w:lang w:eastAsia="it-IT"/>
        </w:rPr>
        <w:t>      The Court replied by judgment of 19 April 2018. (</w:t>
      </w:r>
      <w:bookmarkStart w:id="16" w:name="Footref4"/>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w:t>
      </w:r>
      <w:r w:rsidRPr="00807A92">
        <w:rPr>
          <w:rFonts w:ascii="Times New Roman" w:eastAsia="Times New Roman" w:hAnsi="Times New Roman" w:cs="Times New Roman"/>
          <w:sz w:val="24"/>
          <w:szCs w:val="24"/>
          <w:lang w:eastAsia="it-IT"/>
        </w:rPr>
        <w:fldChar w:fldCharType="end"/>
      </w:r>
      <w:bookmarkEnd w:id="16"/>
      <w:r w:rsidRPr="00807A92">
        <w:rPr>
          <w:rFonts w:ascii="Times New Roman" w:eastAsia="Times New Roman" w:hAnsi="Times New Roman" w:cs="Times New Roman"/>
          <w:sz w:val="24"/>
          <w:szCs w:val="24"/>
          <w:lang w:eastAsia="it-IT"/>
        </w:rPr>
        <w:t>) With regard to the first question, the Court noted that the referring court did not provide any explanation as to the relevance of the interpretation of Article 3(3) TEU or Articles 26, 57 to 58 and 101 TFEU for the resolution of the dispute in the main proceedings. Article 16 of the Charter of Fundamental Rights of the European Union (‘the Charter’) is, similar to the other Charter provisions, addressed to the Member States only when they are implementing EU law, which was not the case in the main proceedings. The Court thus concluded that the first question was inadmissible with regard to those provisions. (</w:t>
      </w:r>
      <w:bookmarkStart w:id="17" w:name="Footref5"/>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w:t>
      </w:r>
      <w:r w:rsidRPr="00807A92">
        <w:rPr>
          <w:rFonts w:ascii="Times New Roman" w:eastAsia="Times New Roman" w:hAnsi="Times New Roman" w:cs="Times New Roman"/>
          <w:sz w:val="24"/>
          <w:szCs w:val="24"/>
          <w:lang w:eastAsia="it-IT"/>
        </w:rPr>
        <w:fldChar w:fldCharType="end"/>
      </w:r>
      <w:bookmarkEnd w:id="17"/>
      <w:r w:rsidRPr="00807A92">
        <w:rPr>
          <w:rFonts w:ascii="Times New Roman" w:eastAsia="Times New Roman" w:hAnsi="Times New Roman" w:cs="Times New Roman"/>
          <w:sz w:val="24"/>
          <w:szCs w:val="24"/>
          <w:lang w:eastAsia="it-IT"/>
        </w:rPr>
        <w:t>)</w:t>
      </w:r>
    </w:p>
    <w:p w14:paraId="0602A82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3"/>
      <w:r w:rsidRPr="00807A92">
        <w:rPr>
          <w:rFonts w:ascii="Times New Roman" w:eastAsia="Times New Roman" w:hAnsi="Times New Roman" w:cs="Times New Roman"/>
          <w:sz w:val="24"/>
          <w:szCs w:val="24"/>
          <w:lang w:eastAsia="it-IT"/>
        </w:rPr>
        <w:t>13.</w:t>
      </w:r>
      <w:bookmarkEnd w:id="18"/>
      <w:r w:rsidRPr="00807A92">
        <w:rPr>
          <w:rFonts w:ascii="Times New Roman" w:eastAsia="Times New Roman" w:hAnsi="Times New Roman" w:cs="Times New Roman"/>
          <w:sz w:val="24"/>
          <w:szCs w:val="24"/>
          <w:lang w:eastAsia="it-IT"/>
        </w:rPr>
        <w:t>      However, as regards Directive 2004/17 and the general principles underlying that directive, in particular the principle of equal treatment and the principle of transparency, the Court found that they were to be interpreted as not precluding national rules, which do not provide for periodic price review after a contract has been awarded in the sectors covered by that directive. In view of that answer, the Court considered that the second question was hypothetical.</w:t>
      </w:r>
    </w:p>
    <w:p w14:paraId="2EF9F2F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4"/>
      <w:r w:rsidRPr="00807A92">
        <w:rPr>
          <w:rFonts w:ascii="Times New Roman" w:eastAsia="Times New Roman" w:hAnsi="Times New Roman" w:cs="Times New Roman"/>
          <w:sz w:val="24"/>
          <w:szCs w:val="24"/>
          <w:lang w:eastAsia="it-IT"/>
        </w:rPr>
        <w:t>14.</w:t>
      </w:r>
      <w:bookmarkEnd w:id="19"/>
      <w:r w:rsidRPr="00807A92">
        <w:rPr>
          <w:rFonts w:ascii="Times New Roman" w:eastAsia="Times New Roman" w:hAnsi="Times New Roman" w:cs="Times New Roman"/>
          <w:sz w:val="24"/>
          <w:szCs w:val="24"/>
          <w:lang w:eastAsia="it-IT"/>
        </w:rPr>
        <w:t xml:space="preserve">      On 28 October 2018, following the delivery of the Court’s judgment, the applicants requested the Consiglio di Stato (Council of State), ahead of the public hearing taking place on 14 November 2018, to refer to the Court new questions for a preliminary ruling. In substance, the applicants maintain that, in its judgment, the Court did not take a position on whether cleaning services were functionally linked to the transport service. They point out that, in its judgment, the Court assumed that, as stated in the initial invitation to tender, the duration of the contractual relationship could not be extended. However, that does not reflect the situation in Italy where service contracts are frequently extended by public authorities, sometimes indefinitely, thus creating a situation of contractual imbalance. In support of their position, the applicants rely on recitals 9, 10 and 45 of Directive 2004/17, as well as Article 57 thereof. </w:t>
      </w:r>
    </w:p>
    <w:p w14:paraId="45EA4E1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5"/>
      <w:r w:rsidRPr="00807A92">
        <w:rPr>
          <w:rFonts w:ascii="Times New Roman" w:eastAsia="Times New Roman" w:hAnsi="Times New Roman" w:cs="Times New Roman"/>
          <w:sz w:val="24"/>
          <w:szCs w:val="24"/>
          <w:lang w:eastAsia="it-IT"/>
        </w:rPr>
        <w:t>15.</w:t>
      </w:r>
      <w:bookmarkEnd w:id="20"/>
      <w:r w:rsidRPr="00807A92">
        <w:rPr>
          <w:rFonts w:ascii="Times New Roman" w:eastAsia="Times New Roman" w:hAnsi="Times New Roman" w:cs="Times New Roman"/>
          <w:sz w:val="24"/>
          <w:szCs w:val="24"/>
          <w:lang w:eastAsia="it-IT"/>
        </w:rPr>
        <w:t xml:space="preserve">      According to the Consiglio di Stato (Council of State), which is once again the referring court in the main proceedings, the applicants have thus raised further questions for a preliminary ruling. However, the referring court wonders whether, in the circumstances of the main proceedings, it must refer those questions to the Court under the third paragraph of Article 267 TFEU. It considers that the obligation on a court of last instance to refer a question for a preliminary ruling cannot be separated from a system of ‘procedural bars’ which incentivises the </w:t>
      </w:r>
      <w:r w:rsidRPr="00807A92">
        <w:rPr>
          <w:rFonts w:ascii="Times New Roman" w:eastAsia="Times New Roman" w:hAnsi="Times New Roman" w:cs="Times New Roman"/>
          <w:sz w:val="24"/>
          <w:szCs w:val="24"/>
          <w:lang w:eastAsia="it-IT"/>
        </w:rPr>
        <w:lastRenderedPageBreak/>
        <w:t>parties to submit ‘once and for all’ to the national court the aspects of national law that they consider to be inconsistent with EU law. Otherwise, the successive or continuous proposal of questions for a preliminary ruling – in addition to lending itself to possible misuse and, in extreme cases, a real ‘abuse of procedure’ – would ultimately, as a result of the obligation to make a request for a preliminary ruling, render the right to judicial protection nugatory and undermine the principle that legal proceedings must be concluded swiftly and effectively.</w:t>
      </w:r>
    </w:p>
    <w:p w14:paraId="48C36F5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6"/>
      <w:r w:rsidRPr="00807A92">
        <w:rPr>
          <w:rFonts w:ascii="Times New Roman" w:eastAsia="Times New Roman" w:hAnsi="Times New Roman" w:cs="Times New Roman"/>
          <w:sz w:val="24"/>
          <w:szCs w:val="24"/>
          <w:lang w:eastAsia="it-IT"/>
        </w:rPr>
        <w:t>16.</w:t>
      </w:r>
      <w:bookmarkEnd w:id="21"/>
      <w:r w:rsidRPr="00807A92">
        <w:rPr>
          <w:rFonts w:ascii="Times New Roman" w:eastAsia="Times New Roman" w:hAnsi="Times New Roman" w:cs="Times New Roman"/>
          <w:sz w:val="24"/>
          <w:szCs w:val="24"/>
          <w:lang w:eastAsia="it-IT"/>
        </w:rPr>
        <w:t>      It is within this factual and legal context that the Consiglio di Stato (Council of State) has referred the following questions to the Court of Justice for a preliminary ruling:</w:t>
      </w:r>
    </w:p>
    <w:p w14:paraId="0C9387B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‘(1)      In accordance with Article 267 TFEU, is a national court whose decisions are not amenable to appeal required, in principle, to make a reference for a preliminary ruling on a question concerning the interpretation of EU law even where the question is submitted to it by one of the parties to the proceedings after that party has lodged its initial pleading, or even after the case has been set down for judgment for the first time, or indeed even after a reference has already been made to the Court of Justice of the European Union for a preliminary ruling?</w:t>
      </w:r>
    </w:p>
    <w:p w14:paraId="12CB58C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(2)      Regard being had to the first question, are Articles 115, 206 and 217 of Legislative Decree No 163/2006, as interpreted by national administrative case-law, in so far as they exclude price review in the case of contracts relating to “special sectors” and, in particular, in the case of contracts that have a different object from those to which Directive [2004/17] refers but are functionally linked to one of those objects, consistent with EU law (in particular, Articles 4(2), 9, 101(1)(e), 106, 151, 152, 153 and 156 TFEU, the European Social Charter signed at Turin on 18 October 1961 and the 1989 Community Charter of the Fundamental Social Rights of Workers, referred to in Article 151 TFEU, Articles 2 and 3 TEU and Article 28 of [the Charter])?</w:t>
      </w:r>
    </w:p>
    <w:p w14:paraId="1E1941C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(3)      Regard being had to the first question, are Articles 115, 206 and 217 of Legislative Decree No 163/2006, as interpreted by national administrative case-law, in so far as they exclude price review in the case of contracts relating to “special sectors” and, in particular, in the case of contracts that have a different object from those to which Directive [2004/17] refers but are functionally linked to one of those objects, consistent with EU law (in particular, Article 28 of [the Charter], the principle of equal treatment enshrined in Articles 26 and 34 TFEU, and the principle of freedom to conduct a business enshrined in Article 16 of [the Charter])?’</w:t>
      </w:r>
    </w:p>
    <w:p w14:paraId="49FC47D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17"/>
      <w:r w:rsidRPr="00807A92">
        <w:rPr>
          <w:rFonts w:ascii="Times New Roman" w:eastAsia="Times New Roman" w:hAnsi="Times New Roman" w:cs="Times New Roman"/>
          <w:sz w:val="24"/>
          <w:szCs w:val="24"/>
          <w:lang w:eastAsia="it-IT"/>
        </w:rPr>
        <w:t>17.</w:t>
      </w:r>
      <w:bookmarkEnd w:id="22"/>
      <w:r w:rsidRPr="00807A92">
        <w:rPr>
          <w:rFonts w:ascii="Times New Roman" w:eastAsia="Times New Roman" w:hAnsi="Times New Roman" w:cs="Times New Roman"/>
          <w:sz w:val="24"/>
          <w:szCs w:val="24"/>
          <w:lang w:eastAsia="it-IT"/>
        </w:rPr>
        <w:t>      Written observations were submitted by the applicants, RFI, the Italian Government and the European Commission. Those interested parties, together with the German and French Governments, all participated at the hearing which took place on 15 July 2020.</w:t>
      </w:r>
    </w:p>
    <w:p w14:paraId="6E5C6B2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IV.    </w:t>
      </w:r>
      <w:r w:rsidRPr="00807A92">
        <w:rPr>
          <w:rFonts w:ascii="Times New Roman" w:eastAsia="Times New Roman" w:hAnsi="Times New Roman" w:cs="Times New Roman"/>
          <w:b/>
          <w:bCs/>
          <w:sz w:val="24"/>
          <w:szCs w:val="24"/>
          <w:lang w:eastAsia="it-IT"/>
        </w:rPr>
        <w:t>Assessment</w:t>
      </w:r>
    </w:p>
    <w:p w14:paraId="6A86A60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18"/>
      <w:r w:rsidRPr="00807A92">
        <w:rPr>
          <w:rFonts w:ascii="Times New Roman" w:eastAsia="Times New Roman" w:hAnsi="Times New Roman" w:cs="Times New Roman"/>
          <w:sz w:val="24"/>
          <w:szCs w:val="24"/>
          <w:lang w:eastAsia="it-IT"/>
        </w:rPr>
        <w:t>18.</w:t>
      </w:r>
      <w:bookmarkEnd w:id="23"/>
      <w:r w:rsidRPr="00807A92">
        <w:rPr>
          <w:rFonts w:ascii="Times New Roman" w:eastAsia="Times New Roman" w:hAnsi="Times New Roman" w:cs="Times New Roman"/>
          <w:sz w:val="24"/>
          <w:szCs w:val="24"/>
          <w:lang w:eastAsia="it-IT"/>
        </w:rPr>
        <w:t xml:space="preserve">      In accordance with the Court’s request, this Opinion shall focus on the first question raised by the referring court. That question has two layers. On the one hand, on its text, the first question could perhaps be read as simply enquiring whether a national court of last instance is bound to make a reference in a specific factual scenario containing three elements: (i) where the question is raised by one of the parties; (ii) where the question is raised after a party has lodged its initial pleading; and (iii) even after a request for a preliminary ruling has already been made to the Court. To provide an answer to these questions is not difficult. The answers indeed flow from well-established case-law of the Court (as will be demonstrated in Section A below). </w:t>
      </w:r>
    </w:p>
    <w:p w14:paraId="4A9C610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19"/>
      <w:r w:rsidRPr="00807A92">
        <w:rPr>
          <w:rFonts w:ascii="Times New Roman" w:eastAsia="Times New Roman" w:hAnsi="Times New Roman" w:cs="Times New Roman"/>
          <w:sz w:val="24"/>
          <w:szCs w:val="24"/>
          <w:lang w:eastAsia="it-IT"/>
        </w:rPr>
        <w:t>19.</w:t>
      </w:r>
      <w:bookmarkEnd w:id="24"/>
      <w:r w:rsidRPr="00807A92">
        <w:rPr>
          <w:rFonts w:ascii="Times New Roman" w:eastAsia="Times New Roman" w:hAnsi="Times New Roman" w:cs="Times New Roman"/>
          <w:sz w:val="24"/>
          <w:szCs w:val="24"/>
          <w:lang w:eastAsia="it-IT"/>
        </w:rPr>
        <w:t xml:space="preserve">      On the other hand, I do not think that such an answer would do justice to the issues actually raised by the referring court. That jurisdiction notes that there are additional issues raised by the </w:t>
      </w:r>
      <w:r w:rsidRPr="00807A92">
        <w:rPr>
          <w:rFonts w:ascii="Times New Roman" w:eastAsia="Times New Roman" w:hAnsi="Times New Roman" w:cs="Times New Roman"/>
          <w:sz w:val="24"/>
          <w:szCs w:val="24"/>
          <w:lang w:eastAsia="it-IT"/>
        </w:rPr>
        <w:lastRenderedPageBreak/>
        <w:t>parties which can in fact be settled on basis of the answer already provided by the Court. However, the referring court also acknowledges that there are new issues that cannot be disposed of in this way. With regard to those additional issues, the referring court points out that, being itself a court of last instance under national law, it is bound to make a reference to the Court because a question of interpretation of EU law has been raised before it. (</w:t>
      </w:r>
      <w:bookmarkStart w:id="25" w:name="Footref6"/>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w:t>
      </w:r>
      <w:r w:rsidRPr="00807A92">
        <w:rPr>
          <w:rFonts w:ascii="Times New Roman" w:eastAsia="Times New Roman" w:hAnsi="Times New Roman" w:cs="Times New Roman"/>
          <w:sz w:val="24"/>
          <w:szCs w:val="24"/>
          <w:lang w:eastAsia="it-IT"/>
        </w:rPr>
        <w:fldChar w:fldCharType="end"/>
      </w:r>
      <w:bookmarkEnd w:id="25"/>
      <w:r w:rsidRPr="00807A92">
        <w:rPr>
          <w:rFonts w:ascii="Times New Roman" w:eastAsia="Times New Roman" w:hAnsi="Times New Roman" w:cs="Times New Roman"/>
          <w:sz w:val="24"/>
          <w:szCs w:val="24"/>
          <w:lang w:eastAsia="it-IT"/>
        </w:rPr>
        <w:t>)</w:t>
      </w:r>
    </w:p>
    <w:p w14:paraId="6C43983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0"/>
      <w:r w:rsidRPr="00807A92">
        <w:rPr>
          <w:rFonts w:ascii="Times New Roman" w:eastAsia="Times New Roman" w:hAnsi="Times New Roman" w:cs="Times New Roman"/>
          <w:sz w:val="24"/>
          <w:szCs w:val="24"/>
          <w:lang w:eastAsia="it-IT"/>
        </w:rPr>
        <w:t>20.</w:t>
      </w:r>
      <w:bookmarkEnd w:id="26"/>
      <w:r w:rsidRPr="00807A92">
        <w:rPr>
          <w:rFonts w:ascii="Times New Roman" w:eastAsia="Times New Roman" w:hAnsi="Times New Roman" w:cs="Times New Roman"/>
          <w:sz w:val="24"/>
          <w:szCs w:val="24"/>
          <w:lang w:eastAsia="it-IT"/>
        </w:rPr>
        <w:t xml:space="preserve">      At this juncture, the broader issue of the first question emerges fully: are any and all cases in which there are lingering doubts as to the correct application of EU law in that particular case, regardless of whether or not a previous request for a preliminary ruling in the same case has already been made, covered by the duty to refer which is incumbent upon the courts of last instance? What is the proper scope of the duty to refer a question for a preliminary ruling and the exceptions to it, particularly in view of cases such as the present one in the main proceedings? </w:t>
      </w:r>
    </w:p>
    <w:p w14:paraId="78328EA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1"/>
      <w:r w:rsidRPr="00807A92">
        <w:rPr>
          <w:rFonts w:ascii="Times New Roman" w:eastAsia="Times New Roman" w:hAnsi="Times New Roman" w:cs="Times New Roman"/>
          <w:sz w:val="24"/>
          <w:szCs w:val="24"/>
          <w:lang w:eastAsia="it-IT"/>
        </w:rPr>
        <w:t>21.</w:t>
      </w:r>
      <w:bookmarkEnd w:id="27"/>
      <w:r w:rsidRPr="00807A92">
        <w:rPr>
          <w:rFonts w:ascii="Times New Roman" w:eastAsia="Times New Roman" w:hAnsi="Times New Roman" w:cs="Times New Roman"/>
          <w:sz w:val="24"/>
          <w:szCs w:val="24"/>
          <w:lang w:eastAsia="it-IT"/>
        </w:rPr>
        <w:t>      In suggesting an answer to that question, I start by setting out the current outlines of the duty to refer and the exceptions to it (B). Next, I shall examine the different problems posed by that case-law, with those problems subsequently being redefined as the reasons for which I suggest that the Court articulate the duty to make a reference in a different light (C). Finally, I shall close with a specific proposal in this regard (D).</w:t>
      </w:r>
    </w:p>
    <w:p w14:paraId="46978A7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A.      </w:t>
      </w:r>
      <w:r w:rsidRPr="00807A92">
        <w:rPr>
          <w:rFonts w:ascii="Times New Roman" w:eastAsia="Times New Roman" w:hAnsi="Times New Roman" w:cs="Times New Roman"/>
          <w:b/>
          <w:bCs/>
          <w:sz w:val="24"/>
          <w:szCs w:val="24"/>
          <w:lang w:eastAsia="it-IT"/>
        </w:rPr>
        <w:t>The layers</w:t>
      </w:r>
    </w:p>
    <w:p w14:paraId="3EA6C89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2"/>
      <w:r w:rsidRPr="00807A92">
        <w:rPr>
          <w:rFonts w:ascii="Times New Roman" w:eastAsia="Times New Roman" w:hAnsi="Times New Roman" w:cs="Times New Roman"/>
          <w:sz w:val="24"/>
          <w:szCs w:val="24"/>
          <w:lang w:eastAsia="it-IT"/>
        </w:rPr>
        <w:t>22.</w:t>
      </w:r>
      <w:bookmarkEnd w:id="28"/>
      <w:r w:rsidRPr="00807A92">
        <w:rPr>
          <w:rFonts w:ascii="Times New Roman" w:eastAsia="Times New Roman" w:hAnsi="Times New Roman" w:cs="Times New Roman"/>
          <w:sz w:val="24"/>
          <w:szCs w:val="24"/>
          <w:lang w:eastAsia="it-IT"/>
        </w:rPr>
        <w:t xml:space="preserve">      The elements invoked by the referring court relate to three issues: (i) the </w:t>
      </w:r>
      <w:r w:rsidRPr="00807A92">
        <w:rPr>
          <w:rFonts w:ascii="Times New Roman" w:eastAsia="Times New Roman" w:hAnsi="Times New Roman" w:cs="Times New Roman"/>
          <w:i/>
          <w:iCs/>
          <w:sz w:val="24"/>
          <w:szCs w:val="24"/>
          <w:lang w:eastAsia="it-IT"/>
        </w:rPr>
        <w:t>role of the parties</w:t>
      </w:r>
      <w:r w:rsidRPr="00807A92">
        <w:rPr>
          <w:rFonts w:ascii="Times New Roman" w:eastAsia="Times New Roman" w:hAnsi="Times New Roman" w:cs="Times New Roman"/>
          <w:sz w:val="24"/>
          <w:szCs w:val="24"/>
          <w:lang w:eastAsia="it-IT"/>
        </w:rPr>
        <w:t xml:space="preserve"> in raising a question; (ii) the </w:t>
      </w:r>
      <w:r w:rsidRPr="00807A92">
        <w:rPr>
          <w:rFonts w:ascii="Times New Roman" w:eastAsia="Times New Roman" w:hAnsi="Times New Roman" w:cs="Times New Roman"/>
          <w:i/>
          <w:iCs/>
          <w:sz w:val="24"/>
          <w:szCs w:val="24"/>
          <w:lang w:eastAsia="it-IT"/>
        </w:rPr>
        <w:t>timing</w:t>
      </w:r>
      <w:r w:rsidRPr="00807A92">
        <w:rPr>
          <w:rFonts w:ascii="Times New Roman" w:eastAsia="Times New Roman" w:hAnsi="Times New Roman" w:cs="Times New Roman"/>
          <w:sz w:val="24"/>
          <w:szCs w:val="24"/>
          <w:lang w:eastAsia="it-IT"/>
        </w:rPr>
        <w:t xml:space="preserve"> of the question in relation to the various stages that a national judicial procedure may be composed of; and (iii) the possibility of a </w:t>
      </w:r>
      <w:r w:rsidRPr="00807A92">
        <w:rPr>
          <w:rFonts w:ascii="Times New Roman" w:eastAsia="Times New Roman" w:hAnsi="Times New Roman" w:cs="Times New Roman"/>
          <w:i/>
          <w:iCs/>
          <w:sz w:val="24"/>
          <w:szCs w:val="24"/>
          <w:lang w:eastAsia="it-IT"/>
        </w:rPr>
        <w:t>second request</w:t>
      </w:r>
      <w:r w:rsidRPr="00807A92">
        <w:rPr>
          <w:rFonts w:ascii="Times New Roman" w:eastAsia="Times New Roman" w:hAnsi="Times New Roman" w:cs="Times New Roman"/>
          <w:sz w:val="24"/>
          <w:szCs w:val="24"/>
          <w:lang w:eastAsia="it-IT"/>
        </w:rPr>
        <w:t xml:space="preserve"> for a preliminary ruling within the same proceedings. If those three issues were understood as three separate questions, and not as three facets of one and the same question, their answer could easily be inferred from the established case-law of the Court. </w:t>
      </w:r>
    </w:p>
    <w:p w14:paraId="1F6979B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1.      </w:t>
      </w:r>
      <w:r w:rsidRPr="00807A92">
        <w:rPr>
          <w:rFonts w:ascii="Times New Roman" w:eastAsia="Times New Roman" w:hAnsi="Times New Roman" w:cs="Times New Roman"/>
          <w:b/>
          <w:bCs/>
          <w:i/>
          <w:iCs/>
          <w:sz w:val="24"/>
          <w:szCs w:val="24"/>
          <w:lang w:eastAsia="it-IT"/>
        </w:rPr>
        <w:t>The outer layer: it is always for the national court to decide</w:t>
      </w:r>
    </w:p>
    <w:p w14:paraId="2C6FDBF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3"/>
      <w:r w:rsidRPr="00807A92">
        <w:rPr>
          <w:rFonts w:ascii="Times New Roman" w:eastAsia="Times New Roman" w:hAnsi="Times New Roman" w:cs="Times New Roman"/>
          <w:sz w:val="24"/>
          <w:szCs w:val="24"/>
          <w:lang w:eastAsia="it-IT"/>
        </w:rPr>
        <w:t>23.</w:t>
      </w:r>
      <w:bookmarkEnd w:id="29"/>
      <w:r w:rsidRPr="00807A92">
        <w:rPr>
          <w:rFonts w:ascii="Times New Roman" w:eastAsia="Times New Roman" w:hAnsi="Times New Roman" w:cs="Times New Roman"/>
          <w:sz w:val="24"/>
          <w:szCs w:val="24"/>
          <w:lang w:eastAsia="it-IT"/>
        </w:rPr>
        <w:t>      First, whether a referring court considers a decision of this Court to be necessary in order for it deliver a judgment is exclusively for that court to decide. Certainly, a national court, like any other court, is likely to listen to the views of the parties regarding the opportunity to refer a question for a preliminary ruling. However, Article 267 TFEU instituted direct cooperation between the Court of Justice and the national courts by means of a procedure, which is completely independent of any initiative by the parties. (</w:t>
      </w:r>
      <w:bookmarkStart w:id="30" w:name="Footref7"/>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w:t>
      </w:r>
      <w:r w:rsidRPr="00807A92">
        <w:rPr>
          <w:rFonts w:ascii="Times New Roman" w:eastAsia="Times New Roman" w:hAnsi="Times New Roman" w:cs="Times New Roman"/>
          <w:sz w:val="24"/>
          <w:szCs w:val="24"/>
          <w:lang w:eastAsia="it-IT"/>
        </w:rPr>
        <w:fldChar w:fldCharType="end"/>
      </w:r>
      <w:bookmarkEnd w:id="30"/>
      <w:r w:rsidRPr="00807A92">
        <w:rPr>
          <w:rFonts w:ascii="Times New Roman" w:eastAsia="Times New Roman" w:hAnsi="Times New Roman" w:cs="Times New Roman"/>
          <w:sz w:val="24"/>
          <w:szCs w:val="24"/>
          <w:lang w:eastAsia="it-IT"/>
        </w:rPr>
        <w:t>) Thus, the mere fact that a party to the dispute in the main proceedings has raised certain issues of EU law does not oblige the court concerned to consider that a question has been raised within the meaning of Article 267 TFEU, rendering a reference mandatory. (</w:t>
      </w:r>
      <w:bookmarkStart w:id="31" w:name="Footref8"/>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w:t>
      </w:r>
      <w:r w:rsidRPr="00807A92">
        <w:rPr>
          <w:rFonts w:ascii="Times New Roman" w:eastAsia="Times New Roman" w:hAnsi="Times New Roman" w:cs="Times New Roman"/>
          <w:sz w:val="24"/>
          <w:szCs w:val="24"/>
          <w:lang w:eastAsia="it-IT"/>
        </w:rPr>
        <w:fldChar w:fldCharType="end"/>
      </w:r>
      <w:bookmarkEnd w:id="31"/>
      <w:r w:rsidRPr="00807A92">
        <w:rPr>
          <w:rFonts w:ascii="Times New Roman" w:eastAsia="Times New Roman" w:hAnsi="Times New Roman" w:cs="Times New Roman"/>
          <w:sz w:val="24"/>
          <w:szCs w:val="24"/>
          <w:lang w:eastAsia="it-IT"/>
        </w:rPr>
        <w:t>) Conversely, that also means that a national court may submit a request for a preliminary ruling of its own motion. (</w:t>
      </w:r>
      <w:bookmarkStart w:id="32" w:name="Footref9"/>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w:t>
      </w:r>
      <w:r w:rsidRPr="00807A92">
        <w:rPr>
          <w:rFonts w:ascii="Times New Roman" w:eastAsia="Times New Roman" w:hAnsi="Times New Roman" w:cs="Times New Roman"/>
          <w:sz w:val="24"/>
          <w:szCs w:val="24"/>
          <w:lang w:eastAsia="it-IT"/>
        </w:rPr>
        <w:fldChar w:fldCharType="end"/>
      </w:r>
      <w:bookmarkEnd w:id="32"/>
      <w:r w:rsidRPr="00807A92">
        <w:rPr>
          <w:rFonts w:ascii="Times New Roman" w:eastAsia="Times New Roman" w:hAnsi="Times New Roman" w:cs="Times New Roman"/>
          <w:sz w:val="24"/>
          <w:szCs w:val="24"/>
          <w:lang w:eastAsia="it-IT"/>
        </w:rPr>
        <w:t>)</w:t>
      </w:r>
    </w:p>
    <w:p w14:paraId="5A56752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24"/>
      <w:r w:rsidRPr="00807A92">
        <w:rPr>
          <w:rFonts w:ascii="Times New Roman" w:eastAsia="Times New Roman" w:hAnsi="Times New Roman" w:cs="Times New Roman"/>
          <w:sz w:val="24"/>
          <w:szCs w:val="24"/>
          <w:lang w:eastAsia="it-IT"/>
        </w:rPr>
        <w:t>24.</w:t>
      </w:r>
      <w:bookmarkEnd w:id="33"/>
      <w:r w:rsidRPr="00807A92">
        <w:rPr>
          <w:rFonts w:ascii="Times New Roman" w:eastAsia="Times New Roman" w:hAnsi="Times New Roman" w:cs="Times New Roman"/>
          <w:sz w:val="24"/>
          <w:szCs w:val="24"/>
          <w:lang w:eastAsia="it-IT"/>
        </w:rPr>
        <w:t>      Second, it is also for the national court alone to decide when it is appropriate to refer a question to the Court of Justice for a preliminary ruling. (</w:t>
      </w:r>
      <w:bookmarkStart w:id="34" w:name="Footref10"/>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w:t>
      </w:r>
      <w:r w:rsidRPr="00807A92">
        <w:rPr>
          <w:rFonts w:ascii="Times New Roman" w:eastAsia="Times New Roman" w:hAnsi="Times New Roman" w:cs="Times New Roman"/>
          <w:sz w:val="24"/>
          <w:szCs w:val="24"/>
          <w:lang w:eastAsia="it-IT"/>
        </w:rPr>
        <w:fldChar w:fldCharType="end"/>
      </w:r>
      <w:bookmarkEnd w:id="34"/>
      <w:r w:rsidRPr="00807A92">
        <w:rPr>
          <w:rFonts w:ascii="Times New Roman" w:eastAsia="Times New Roman" w:hAnsi="Times New Roman" w:cs="Times New Roman"/>
          <w:sz w:val="24"/>
          <w:szCs w:val="24"/>
          <w:lang w:eastAsia="it-IT"/>
        </w:rPr>
        <w:t>) The national court is in the best position to appreciate at what stage of the proceedings it requires a preliminary ruling from the Court of Justice. (</w:t>
      </w:r>
      <w:bookmarkStart w:id="35" w:name="Footref11"/>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w:t>
      </w:r>
      <w:r w:rsidRPr="00807A92">
        <w:rPr>
          <w:rFonts w:ascii="Times New Roman" w:eastAsia="Times New Roman" w:hAnsi="Times New Roman" w:cs="Times New Roman"/>
          <w:sz w:val="24"/>
          <w:szCs w:val="24"/>
          <w:lang w:eastAsia="it-IT"/>
        </w:rPr>
        <w:fldChar w:fldCharType="end"/>
      </w:r>
      <w:bookmarkEnd w:id="35"/>
      <w:r w:rsidRPr="00807A92">
        <w:rPr>
          <w:rFonts w:ascii="Times New Roman" w:eastAsia="Times New Roman" w:hAnsi="Times New Roman" w:cs="Times New Roman"/>
          <w:sz w:val="24"/>
          <w:szCs w:val="24"/>
          <w:lang w:eastAsia="it-IT"/>
        </w:rPr>
        <w:t>) The Court only requires the dispute to be pending at the time of the request for a preliminary ruling. (</w:t>
      </w:r>
      <w:bookmarkStart w:id="36" w:name="Footref12"/>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w:t>
      </w:r>
      <w:r w:rsidRPr="00807A92">
        <w:rPr>
          <w:rFonts w:ascii="Times New Roman" w:eastAsia="Times New Roman" w:hAnsi="Times New Roman" w:cs="Times New Roman"/>
          <w:sz w:val="24"/>
          <w:szCs w:val="24"/>
          <w:lang w:eastAsia="it-IT"/>
        </w:rPr>
        <w:fldChar w:fldCharType="end"/>
      </w:r>
      <w:bookmarkEnd w:id="36"/>
      <w:r w:rsidRPr="00807A92">
        <w:rPr>
          <w:rFonts w:ascii="Times New Roman" w:eastAsia="Times New Roman" w:hAnsi="Times New Roman" w:cs="Times New Roman"/>
          <w:sz w:val="24"/>
          <w:szCs w:val="24"/>
          <w:lang w:eastAsia="it-IT"/>
        </w:rPr>
        <w:t>)</w:t>
      </w:r>
    </w:p>
    <w:p w14:paraId="41DA7FD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25"/>
      <w:r w:rsidRPr="00807A92">
        <w:rPr>
          <w:rFonts w:ascii="Times New Roman" w:eastAsia="Times New Roman" w:hAnsi="Times New Roman" w:cs="Times New Roman"/>
          <w:sz w:val="24"/>
          <w:szCs w:val="24"/>
          <w:lang w:eastAsia="it-IT"/>
        </w:rPr>
        <w:t>25.</w:t>
      </w:r>
      <w:bookmarkEnd w:id="37"/>
      <w:r w:rsidRPr="00807A92">
        <w:rPr>
          <w:rFonts w:ascii="Times New Roman" w:eastAsia="Times New Roman" w:hAnsi="Times New Roman" w:cs="Times New Roman"/>
          <w:sz w:val="24"/>
          <w:szCs w:val="24"/>
          <w:lang w:eastAsia="it-IT"/>
        </w:rPr>
        <w:t xml:space="preserve">      Certainly, from the point of view of the Court, and its wish to assist the referring court as fully as possible, situations in which the national court decides to make a reference to the Court only after a dispute and all its implications have fully materialised before that court cannot but be welcomed. Thus, in some cases, the sound administration of justice might require that the Court be </w:t>
      </w:r>
      <w:r w:rsidRPr="00807A92">
        <w:rPr>
          <w:rFonts w:ascii="Times New Roman" w:eastAsia="Times New Roman" w:hAnsi="Times New Roman" w:cs="Times New Roman"/>
          <w:sz w:val="24"/>
          <w:szCs w:val="24"/>
          <w:lang w:eastAsia="it-IT"/>
        </w:rPr>
        <w:lastRenderedPageBreak/>
        <w:t>seised only after both parties to a dispute have been heard by the referring court. However, that is certainly not, in and of itself, a condition imposed by this Court. (</w:t>
      </w:r>
      <w:bookmarkStart w:id="38" w:name="Footref13"/>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w:t>
      </w:r>
      <w:r w:rsidRPr="00807A92">
        <w:rPr>
          <w:rFonts w:ascii="Times New Roman" w:eastAsia="Times New Roman" w:hAnsi="Times New Roman" w:cs="Times New Roman"/>
          <w:sz w:val="24"/>
          <w:szCs w:val="24"/>
          <w:lang w:eastAsia="it-IT"/>
        </w:rPr>
        <w:fldChar w:fldCharType="end"/>
      </w:r>
      <w:bookmarkEnd w:id="38"/>
      <w:r w:rsidRPr="00807A92">
        <w:rPr>
          <w:rFonts w:ascii="Times New Roman" w:eastAsia="Times New Roman" w:hAnsi="Times New Roman" w:cs="Times New Roman"/>
          <w:sz w:val="24"/>
          <w:szCs w:val="24"/>
          <w:lang w:eastAsia="it-IT"/>
        </w:rPr>
        <w:t>)</w:t>
      </w:r>
    </w:p>
    <w:p w14:paraId="766726E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26"/>
      <w:r w:rsidRPr="00807A92">
        <w:rPr>
          <w:rFonts w:ascii="Times New Roman" w:eastAsia="Times New Roman" w:hAnsi="Times New Roman" w:cs="Times New Roman"/>
          <w:sz w:val="24"/>
          <w:szCs w:val="24"/>
          <w:lang w:eastAsia="it-IT"/>
        </w:rPr>
        <w:t>26.</w:t>
      </w:r>
      <w:bookmarkEnd w:id="39"/>
      <w:r w:rsidRPr="00807A92">
        <w:rPr>
          <w:rFonts w:ascii="Times New Roman" w:eastAsia="Times New Roman" w:hAnsi="Times New Roman" w:cs="Times New Roman"/>
          <w:sz w:val="24"/>
          <w:szCs w:val="24"/>
          <w:lang w:eastAsia="it-IT"/>
        </w:rPr>
        <w:t>      In similar vein, I do not think that the Court would be opposed to national rules or provisions that require or mandate the concentration of proceedings, in particular before appellate or supreme courts, by obliging the parties to bring forward new or additional arguments at a certain moment in time or stage of the judicial procedure. However, it is true that in the past, the Court has in general taken issue if such deadlines or concentration of proceedings were to make it effectively impossible for the national courts to raise questions of compatibility of national rules with EU law. (</w:t>
      </w:r>
      <w:bookmarkStart w:id="40" w:name="Footref14"/>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14</w:t>
      </w:r>
      <w:r w:rsidRPr="00807A92">
        <w:rPr>
          <w:rFonts w:ascii="Times New Roman" w:eastAsia="Times New Roman" w:hAnsi="Times New Roman" w:cs="Times New Roman"/>
          <w:sz w:val="24"/>
          <w:szCs w:val="24"/>
          <w:lang w:eastAsia="it-IT"/>
        </w:rPr>
        <w:fldChar w:fldCharType="end"/>
      </w:r>
      <w:bookmarkEnd w:id="40"/>
      <w:r w:rsidRPr="00807A92">
        <w:rPr>
          <w:rFonts w:ascii="Times New Roman" w:eastAsia="Times New Roman" w:hAnsi="Times New Roman" w:cs="Times New Roman"/>
          <w:sz w:val="24"/>
          <w:szCs w:val="24"/>
          <w:lang w:eastAsia="it-IT"/>
        </w:rPr>
        <w:t>)</w:t>
      </w:r>
    </w:p>
    <w:p w14:paraId="6E4D71C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27"/>
      <w:r w:rsidRPr="00807A92">
        <w:rPr>
          <w:rFonts w:ascii="Times New Roman" w:eastAsia="Times New Roman" w:hAnsi="Times New Roman" w:cs="Times New Roman"/>
          <w:sz w:val="24"/>
          <w:szCs w:val="24"/>
          <w:lang w:eastAsia="it-IT"/>
        </w:rPr>
        <w:t>27.</w:t>
      </w:r>
      <w:bookmarkEnd w:id="41"/>
      <w:r w:rsidRPr="00807A92">
        <w:rPr>
          <w:rFonts w:ascii="Times New Roman" w:eastAsia="Times New Roman" w:hAnsi="Times New Roman" w:cs="Times New Roman"/>
          <w:sz w:val="24"/>
          <w:szCs w:val="24"/>
          <w:lang w:eastAsia="it-IT"/>
        </w:rPr>
        <w:t>      The logic of the case-law of the Court in this area thus involves ensuring that national rules of procedure do not prevent points of EU law from being raised, with a request for a preliminary ruling potentially being made regardless of the stage of proceedings. Where that is likely to lead, in practical terms, is to the potential setting aside of any restrictive national rules. (</w:t>
      </w:r>
      <w:bookmarkStart w:id="42" w:name="Footref15"/>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15</w:t>
      </w:r>
      <w:r w:rsidRPr="00807A92">
        <w:rPr>
          <w:rFonts w:ascii="Times New Roman" w:eastAsia="Times New Roman" w:hAnsi="Times New Roman" w:cs="Times New Roman"/>
          <w:sz w:val="24"/>
          <w:szCs w:val="24"/>
          <w:lang w:eastAsia="it-IT"/>
        </w:rPr>
        <w:fldChar w:fldCharType="end"/>
      </w:r>
      <w:bookmarkEnd w:id="42"/>
      <w:r w:rsidRPr="00807A92">
        <w:rPr>
          <w:rFonts w:ascii="Times New Roman" w:eastAsia="Times New Roman" w:hAnsi="Times New Roman" w:cs="Times New Roman"/>
          <w:sz w:val="24"/>
          <w:szCs w:val="24"/>
          <w:lang w:eastAsia="it-IT"/>
        </w:rPr>
        <w:t>)</w:t>
      </w:r>
    </w:p>
    <w:p w14:paraId="2C126F6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28"/>
      <w:r w:rsidRPr="00807A92">
        <w:rPr>
          <w:rFonts w:ascii="Times New Roman" w:eastAsia="Times New Roman" w:hAnsi="Times New Roman" w:cs="Times New Roman"/>
          <w:sz w:val="24"/>
          <w:szCs w:val="24"/>
          <w:lang w:eastAsia="it-IT"/>
        </w:rPr>
        <w:t>28.</w:t>
      </w:r>
      <w:bookmarkEnd w:id="43"/>
      <w:r w:rsidRPr="00807A92">
        <w:rPr>
          <w:rFonts w:ascii="Times New Roman" w:eastAsia="Times New Roman" w:hAnsi="Times New Roman" w:cs="Times New Roman"/>
          <w:sz w:val="24"/>
          <w:szCs w:val="24"/>
          <w:lang w:eastAsia="it-IT"/>
        </w:rPr>
        <w:t xml:space="preserve">      However, in the context of the present case, it would appear that the question of whether a potential duty to refer pursuant to Article 267 TFEU could arise ‘even where the question is submitted to [the national court] by one of the parties to the proceedings after that party has lodged its initial pleading, or even after the case has been set down for judgment for the first time’ is being raised with a different outcome in mind. In the present case, it seems that no limiting rule in fact exists in national law, with the parties apparently being allowed to start (re)discussing elements before the referring court that were already the subject of a request for a preliminary ruling. However, it would be very unusual, to say the least, if one were to start invoking the above recalled ‘enabling’ line of case-law that has always categorically insisted on national judges being entirely free to raise </w:t>
      </w:r>
      <w:r w:rsidRPr="00807A92">
        <w:rPr>
          <w:rFonts w:ascii="Times New Roman" w:eastAsia="Times New Roman" w:hAnsi="Times New Roman" w:cs="Times New Roman"/>
          <w:i/>
          <w:iCs/>
          <w:sz w:val="24"/>
          <w:szCs w:val="24"/>
          <w:lang w:eastAsia="it-IT"/>
        </w:rPr>
        <w:t xml:space="preserve">any </w:t>
      </w:r>
      <w:r w:rsidRPr="00807A92">
        <w:rPr>
          <w:rFonts w:ascii="Times New Roman" w:eastAsia="Times New Roman" w:hAnsi="Times New Roman" w:cs="Times New Roman"/>
          <w:sz w:val="24"/>
          <w:szCs w:val="24"/>
          <w:lang w:eastAsia="it-IT"/>
        </w:rPr>
        <w:t xml:space="preserve">point of EU law at </w:t>
      </w:r>
      <w:r w:rsidRPr="00807A92">
        <w:rPr>
          <w:rFonts w:ascii="Times New Roman" w:eastAsia="Times New Roman" w:hAnsi="Times New Roman" w:cs="Times New Roman"/>
          <w:i/>
          <w:iCs/>
          <w:sz w:val="24"/>
          <w:szCs w:val="24"/>
          <w:lang w:eastAsia="it-IT"/>
        </w:rPr>
        <w:t>any</w:t>
      </w:r>
      <w:r w:rsidRPr="00807A92">
        <w:rPr>
          <w:rFonts w:ascii="Times New Roman" w:eastAsia="Times New Roman" w:hAnsi="Times New Roman" w:cs="Times New Roman"/>
          <w:sz w:val="24"/>
          <w:szCs w:val="24"/>
          <w:lang w:eastAsia="it-IT"/>
        </w:rPr>
        <w:t xml:space="preserve"> stage of proceedings in order to suddenly seek the opposite result: to shut down any further discussion permitted under national law following a ruling of this Court received at the national level.</w:t>
      </w:r>
    </w:p>
    <w:p w14:paraId="5A489E5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29"/>
      <w:r w:rsidRPr="00807A92">
        <w:rPr>
          <w:rFonts w:ascii="Times New Roman" w:eastAsia="Times New Roman" w:hAnsi="Times New Roman" w:cs="Times New Roman"/>
          <w:sz w:val="24"/>
          <w:szCs w:val="24"/>
          <w:lang w:eastAsia="it-IT"/>
        </w:rPr>
        <w:t>29.</w:t>
      </w:r>
      <w:bookmarkEnd w:id="44"/>
      <w:r w:rsidRPr="00807A92">
        <w:rPr>
          <w:rFonts w:ascii="Times New Roman" w:eastAsia="Times New Roman" w:hAnsi="Times New Roman" w:cs="Times New Roman"/>
          <w:sz w:val="24"/>
          <w:szCs w:val="24"/>
          <w:lang w:eastAsia="it-IT"/>
        </w:rPr>
        <w:t>      Third, that would also sit very uneasily with the traditional approach of the Court with respect to the third element singled out by the referring court: the possibility to ask again. In that regard, the Court has always insisted that national courts remain at liberty to bring a matter before the Court if they consider it appropriate to do so, and the fact that the provisions whose interpretation is sought have already been interpreted by the Court does not deprive the Court of jurisdiction to give a further ruling. (</w:t>
      </w:r>
      <w:bookmarkStart w:id="45" w:name="Footref16"/>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16</w:t>
      </w:r>
      <w:r w:rsidRPr="00807A92">
        <w:rPr>
          <w:rFonts w:ascii="Times New Roman" w:eastAsia="Times New Roman" w:hAnsi="Times New Roman" w:cs="Times New Roman"/>
          <w:sz w:val="24"/>
          <w:szCs w:val="24"/>
          <w:lang w:eastAsia="it-IT"/>
        </w:rPr>
        <w:fldChar w:fldCharType="end"/>
      </w:r>
      <w:bookmarkEnd w:id="45"/>
      <w:r w:rsidRPr="00807A92">
        <w:rPr>
          <w:rFonts w:ascii="Times New Roman" w:eastAsia="Times New Roman" w:hAnsi="Times New Roman" w:cs="Times New Roman"/>
          <w:sz w:val="24"/>
          <w:szCs w:val="24"/>
          <w:lang w:eastAsia="it-IT"/>
        </w:rPr>
        <w:t>)</w:t>
      </w:r>
    </w:p>
    <w:p w14:paraId="2EEFDE0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30"/>
      <w:r w:rsidRPr="00807A92">
        <w:rPr>
          <w:rFonts w:ascii="Times New Roman" w:eastAsia="Times New Roman" w:hAnsi="Times New Roman" w:cs="Times New Roman"/>
          <w:sz w:val="24"/>
          <w:szCs w:val="24"/>
          <w:lang w:eastAsia="it-IT"/>
        </w:rPr>
        <w:t>30.</w:t>
      </w:r>
      <w:bookmarkEnd w:id="46"/>
      <w:r w:rsidRPr="00807A92">
        <w:rPr>
          <w:rFonts w:ascii="Times New Roman" w:eastAsia="Times New Roman" w:hAnsi="Times New Roman" w:cs="Times New Roman"/>
          <w:sz w:val="24"/>
          <w:szCs w:val="24"/>
          <w:lang w:eastAsia="it-IT"/>
        </w:rPr>
        <w:t xml:space="preserve">      The same applies </w:t>
      </w:r>
      <w:r w:rsidRPr="00807A92">
        <w:rPr>
          <w:rFonts w:ascii="Times New Roman" w:eastAsia="Times New Roman" w:hAnsi="Times New Roman" w:cs="Times New Roman"/>
          <w:i/>
          <w:iCs/>
          <w:sz w:val="24"/>
          <w:szCs w:val="24"/>
          <w:lang w:eastAsia="it-IT"/>
        </w:rPr>
        <w:t xml:space="preserve">within </w:t>
      </w:r>
      <w:r w:rsidRPr="00807A92">
        <w:rPr>
          <w:rFonts w:ascii="Times New Roman" w:eastAsia="Times New Roman" w:hAnsi="Times New Roman" w:cs="Times New Roman"/>
          <w:sz w:val="24"/>
          <w:szCs w:val="24"/>
          <w:lang w:eastAsia="it-IT"/>
        </w:rPr>
        <w:t xml:space="preserve">the </w:t>
      </w:r>
      <w:r w:rsidRPr="00807A92">
        <w:rPr>
          <w:rFonts w:ascii="Times New Roman" w:eastAsia="Times New Roman" w:hAnsi="Times New Roman" w:cs="Times New Roman"/>
          <w:i/>
          <w:iCs/>
          <w:sz w:val="24"/>
          <w:szCs w:val="24"/>
          <w:lang w:eastAsia="it-IT"/>
        </w:rPr>
        <w:t>same</w:t>
      </w:r>
      <w:r w:rsidRPr="00807A92">
        <w:rPr>
          <w:rFonts w:ascii="Times New Roman" w:eastAsia="Times New Roman" w:hAnsi="Times New Roman" w:cs="Times New Roman"/>
          <w:sz w:val="24"/>
          <w:szCs w:val="24"/>
          <w:lang w:eastAsia="it-IT"/>
        </w:rPr>
        <w:t xml:space="preserve"> national proceedings. According to the Court, ‘such a procedure may be justified when the national court or tribunal encounters difficulties in understanding or applying the judgment, when it refers a fresh question of law to the Court, or again when it submits new considerations which might lead the Court to give a different answer to a question submitted earlier’. (</w:t>
      </w:r>
      <w:bookmarkStart w:id="47" w:name="Footref17"/>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17</w:t>
      </w:r>
      <w:r w:rsidRPr="00807A92">
        <w:rPr>
          <w:rFonts w:ascii="Times New Roman" w:eastAsia="Times New Roman" w:hAnsi="Times New Roman" w:cs="Times New Roman"/>
          <w:sz w:val="24"/>
          <w:szCs w:val="24"/>
          <w:lang w:eastAsia="it-IT"/>
        </w:rPr>
        <w:fldChar w:fldCharType="end"/>
      </w:r>
      <w:bookmarkEnd w:id="47"/>
      <w:r w:rsidRPr="00807A92">
        <w:rPr>
          <w:rFonts w:ascii="Times New Roman" w:eastAsia="Times New Roman" w:hAnsi="Times New Roman" w:cs="Times New Roman"/>
          <w:sz w:val="24"/>
          <w:szCs w:val="24"/>
          <w:lang w:eastAsia="it-IT"/>
        </w:rPr>
        <w:t xml:space="preserve">) Thus, a new reference is always possible, on the same provisions of EU law, but also on potentially different provisions or issues within the same proceedings. </w:t>
      </w:r>
    </w:p>
    <w:p w14:paraId="43258BA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31"/>
      <w:r w:rsidRPr="00807A92">
        <w:rPr>
          <w:rFonts w:ascii="Times New Roman" w:eastAsia="Times New Roman" w:hAnsi="Times New Roman" w:cs="Times New Roman"/>
          <w:sz w:val="24"/>
          <w:szCs w:val="24"/>
          <w:lang w:eastAsia="it-IT"/>
        </w:rPr>
        <w:t>31.</w:t>
      </w:r>
      <w:bookmarkEnd w:id="48"/>
      <w:r w:rsidRPr="00807A92">
        <w:rPr>
          <w:rFonts w:ascii="Times New Roman" w:eastAsia="Times New Roman" w:hAnsi="Times New Roman" w:cs="Times New Roman"/>
          <w:sz w:val="24"/>
          <w:szCs w:val="24"/>
          <w:lang w:eastAsia="it-IT"/>
        </w:rPr>
        <w:t xml:space="preserve">      It follows that the short answer to the first question is that a request for a preliminary ruling </w:t>
      </w:r>
      <w:r w:rsidRPr="00807A92">
        <w:rPr>
          <w:rFonts w:ascii="Times New Roman" w:eastAsia="Times New Roman" w:hAnsi="Times New Roman" w:cs="Times New Roman"/>
          <w:i/>
          <w:iCs/>
          <w:sz w:val="24"/>
          <w:szCs w:val="24"/>
          <w:lang w:eastAsia="it-IT"/>
        </w:rPr>
        <w:t>may</w:t>
      </w:r>
      <w:r w:rsidRPr="00807A92">
        <w:rPr>
          <w:rFonts w:ascii="Times New Roman" w:eastAsia="Times New Roman" w:hAnsi="Times New Roman" w:cs="Times New Roman"/>
          <w:sz w:val="24"/>
          <w:szCs w:val="24"/>
          <w:lang w:eastAsia="it-IT"/>
        </w:rPr>
        <w:t xml:space="preserve"> be made at any time, irrespective of a previous preliminary judgment of the Court issued within the same proceedings, as long as the referring court is of the view that the Court’s answer is necessary to enable it to deliver a judgment. That decision is always to be taken by the national court, in the light of any reasonable doubt that it may still have regarding the correct application of EU law in the case before it. </w:t>
      </w:r>
    </w:p>
    <w:p w14:paraId="126A9E9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2.      </w:t>
      </w:r>
      <w:r w:rsidRPr="00807A92">
        <w:rPr>
          <w:rFonts w:ascii="Times New Roman" w:eastAsia="Times New Roman" w:hAnsi="Times New Roman" w:cs="Times New Roman"/>
          <w:b/>
          <w:bCs/>
          <w:i/>
          <w:iCs/>
          <w:sz w:val="24"/>
          <w:szCs w:val="24"/>
          <w:lang w:eastAsia="it-IT"/>
        </w:rPr>
        <w:t>The deeper layer: should all questions really be referred? </w:t>
      </w:r>
    </w:p>
    <w:p w14:paraId="1F51FCE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32"/>
      <w:r w:rsidRPr="00807A92">
        <w:rPr>
          <w:rFonts w:ascii="Times New Roman" w:eastAsia="Times New Roman" w:hAnsi="Times New Roman" w:cs="Times New Roman"/>
          <w:sz w:val="24"/>
          <w:szCs w:val="24"/>
          <w:lang w:eastAsia="it-IT"/>
        </w:rPr>
        <w:lastRenderedPageBreak/>
        <w:t>32.</w:t>
      </w:r>
      <w:bookmarkEnd w:id="49"/>
      <w:r w:rsidRPr="00807A92">
        <w:rPr>
          <w:rFonts w:ascii="Times New Roman" w:eastAsia="Times New Roman" w:hAnsi="Times New Roman" w:cs="Times New Roman"/>
          <w:sz w:val="24"/>
          <w:szCs w:val="24"/>
          <w:lang w:eastAsia="it-IT"/>
        </w:rPr>
        <w:t xml:space="preserve">      In short, all this remains within the exclusive competence of the referring court and its assessment of the (subjective) need to seek further guidance from the Court. However, is that really the answer? Or is that statement rather the description of the problem? Indeed, should there still be a duty to refer in cases such as the present one? </w:t>
      </w:r>
    </w:p>
    <w:p w14:paraId="2760677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33"/>
      <w:r w:rsidRPr="00807A92">
        <w:rPr>
          <w:rFonts w:ascii="Times New Roman" w:eastAsia="Times New Roman" w:hAnsi="Times New Roman" w:cs="Times New Roman"/>
          <w:sz w:val="24"/>
          <w:szCs w:val="24"/>
          <w:lang w:eastAsia="it-IT"/>
        </w:rPr>
        <w:t>33.</w:t>
      </w:r>
      <w:bookmarkEnd w:id="50"/>
      <w:r w:rsidRPr="00807A92">
        <w:rPr>
          <w:rFonts w:ascii="Times New Roman" w:eastAsia="Times New Roman" w:hAnsi="Times New Roman" w:cs="Times New Roman"/>
          <w:sz w:val="24"/>
          <w:szCs w:val="24"/>
          <w:lang w:eastAsia="it-IT"/>
        </w:rPr>
        <w:t xml:space="preserve">      Viewed in that context, the referring court’s first question reaches another, much deeper layer. That is further emphasised by the fact that </w:t>
      </w:r>
      <w:r w:rsidRPr="00807A92">
        <w:rPr>
          <w:rFonts w:ascii="Times New Roman" w:eastAsia="Times New Roman" w:hAnsi="Times New Roman" w:cs="Times New Roman"/>
          <w:i/>
          <w:iCs/>
          <w:sz w:val="24"/>
          <w:szCs w:val="24"/>
          <w:lang w:eastAsia="it-IT"/>
        </w:rPr>
        <w:t>all the three elements</w:t>
      </w:r>
      <w:r w:rsidRPr="00807A92">
        <w:rPr>
          <w:rFonts w:ascii="Times New Roman" w:eastAsia="Times New Roman" w:hAnsi="Times New Roman" w:cs="Times New Roman"/>
          <w:sz w:val="24"/>
          <w:szCs w:val="24"/>
          <w:lang w:eastAsia="it-IT"/>
        </w:rPr>
        <w:t xml:space="preserve"> discussed in the previous section as free-standing questions are present in the main proceedings simultaneously. The question thus becomes whether the referring court is, despite all these circumstances, still under the obligation to make a reference.</w:t>
      </w:r>
    </w:p>
    <w:p w14:paraId="386EEF0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34"/>
      <w:r w:rsidRPr="00807A92">
        <w:rPr>
          <w:rFonts w:ascii="Times New Roman" w:eastAsia="Times New Roman" w:hAnsi="Times New Roman" w:cs="Times New Roman"/>
          <w:sz w:val="24"/>
          <w:szCs w:val="24"/>
          <w:lang w:eastAsia="it-IT"/>
        </w:rPr>
        <w:t>34.</w:t>
      </w:r>
      <w:bookmarkEnd w:id="51"/>
      <w:r w:rsidRPr="00807A92">
        <w:rPr>
          <w:rFonts w:ascii="Times New Roman" w:eastAsia="Times New Roman" w:hAnsi="Times New Roman" w:cs="Times New Roman"/>
          <w:sz w:val="24"/>
          <w:szCs w:val="24"/>
          <w:lang w:eastAsia="it-IT"/>
        </w:rPr>
        <w:t xml:space="preserve">      Therefore, I do not believe that such a question can properly be answered in the manner outlined in the previous section. I also do not believe that it could be answered by suggesting that the present case concerns merely the binding force of and the respect for a previous judgment of the Court. It is certainly true that, already since </w:t>
      </w:r>
      <w:r w:rsidRPr="00807A92">
        <w:rPr>
          <w:rFonts w:ascii="Times New Roman" w:eastAsia="Times New Roman" w:hAnsi="Times New Roman" w:cs="Times New Roman"/>
          <w:i/>
          <w:iCs/>
          <w:sz w:val="24"/>
          <w:szCs w:val="24"/>
          <w:lang w:eastAsia="it-IT"/>
        </w:rPr>
        <w:t>Da Costa</w:t>
      </w:r>
      <w:r w:rsidRPr="00807A92">
        <w:rPr>
          <w:rFonts w:ascii="Times New Roman" w:eastAsia="Times New Roman" w:hAnsi="Times New Roman" w:cs="Times New Roman"/>
          <w:sz w:val="24"/>
          <w:szCs w:val="24"/>
          <w:lang w:eastAsia="it-IT"/>
        </w:rPr>
        <w:t>,</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w:t>
      </w:r>
      <w:bookmarkStart w:id="52" w:name="Footref18"/>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18</w:t>
      </w:r>
      <w:r w:rsidRPr="00807A92">
        <w:rPr>
          <w:rFonts w:ascii="Times New Roman" w:eastAsia="Times New Roman" w:hAnsi="Times New Roman" w:cs="Times New Roman"/>
          <w:sz w:val="24"/>
          <w:szCs w:val="24"/>
          <w:lang w:eastAsia="it-IT"/>
        </w:rPr>
        <w:fldChar w:fldCharType="end"/>
      </w:r>
      <w:bookmarkEnd w:id="52"/>
      <w:r w:rsidRPr="00807A92">
        <w:rPr>
          <w:rFonts w:ascii="Times New Roman" w:eastAsia="Times New Roman" w:hAnsi="Times New Roman" w:cs="Times New Roman"/>
          <w:sz w:val="24"/>
          <w:szCs w:val="24"/>
          <w:lang w:eastAsia="it-IT"/>
        </w:rPr>
        <w:t xml:space="preserve">) and as later consolidated in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w:t>
      </w:r>
      <w:bookmarkStart w:id="53" w:name="Footref19"/>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19</w:t>
      </w:r>
      <w:r w:rsidRPr="00807A92">
        <w:rPr>
          <w:rFonts w:ascii="Times New Roman" w:eastAsia="Times New Roman" w:hAnsi="Times New Roman" w:cs="Times New Roman"/>
          <w:sz w:val="24"/>
          <w:szCs w:val="24"/>
          <w:lang w:eastAsia="it-IT"/>
        </w:rPr>
        <w:fldChar w:fldCharType="end"/>
      </w:r>
      <w:bookmarkEnd w:id="53"/>
      <w:r w:rsidRPr="00807A92">
        <w:rPr>
          <w:rFonts w:ascii="Times New Roman" w:eastAsia="Times New Roman" w:hAnsi="Times New Roman" w:cs="Times New Roman"/>
          <w:sz w:val="24"/>
          <w:szCs w:val="24"/>
          <w:lang w:eastAsia="it-IT"/>
        </w:rPr>
        <w:t>) the authority of an interpretation provided by the Court under Article 267 TFEU may deprive that obligation of its purpose and thus empty it of its substance. (</w:t>
      </w:r>
      <w:bookmarkStart w:id="54" w:name="Footref20"/>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"Footnote20"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20</w:t>
      </w:r>
      <w:r w:rsidRPr="00807A92">
        <w:rPr>
          <w:rFonts w:ascii="Times New Roman" w:eastAsia="Times New Roman" w:hAnsi="Times New Roman" w:cs="Times New Roman"/>
          <w:sz w:val="24"/>
          <w:szCs w:val="24"/>
          <w:lang w:eastAsia="it-IT"/>
        </w:rPr>
        <w:fldChar w:fldCharType="end"/>
      </w:r>
      <w:bookmarkEnd w:id="54"/>
      <w:r w:rsidRPr="00807A92">
        <w:rPr>
          <w:rFonts w:ascii="Times New Roman" w:eastAsia="Times New Roman" w:hAnsi="Times New Roman" w:cs="Times New Roman"/>
          <w:sz w:val="24"/>
          <w:szCs w:val="24"/>
          <w:lang w:eastAsia="it-IT"/>
        </w:rPr>
        <w:t>) That is a fortiori</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the case when the question raised is substantially the same as a question which has already been the subject of a preliminary ruling in the same national proceedings. (</w:t>
      </w:r>
      <w:bookmarkStart w:id="55" w:name="Footref21"/>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"Footnote21"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21</w:t>
      </w:r>
      <w:r w:rsidRPr="00807A92">
        <w:rPr>
          <w:rFonts w:ascii="Times New Roman" w:eastAsia="Times New Roman" w:hAnsi="Times New Roman" w:cs="Times New Roman"/>
          <w:sz w:val="24"/>
          <w:szCs w:val="24"/>
          <w:lang w:eastAsia="it-IT"/>
        </w:rPr>
        <w:fldChar w:fldCharType="end"/>
      </w:r>
      <w:bookmarkEnd w:id="55"/>
      <w:r w:rsidRPr="00807A92">
        <w:rPr>
          <w:rFonts w:ascii="Times New Roman" w:eastAsia="Times New Roman" w:hAnsi="Times New Roman" w:cs="Times New Roman"/>
          <w:sz w:val="24"/>
          <w:szCs w:val="24"/>
          <w:lang w:eastAsia="it-IT"/>
        </w:rPr>
        <w:t>)</w:t>
      </w:r>
    </w:p>
    <w:p w14:paraId="12D446A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35"/>
      <w:r w:rsidRPr="00807A92">
        <w:rPr>
          <w:rFonts w:ascii="Times New Roman" w:eastAsia="Times New Roman" w:hAnsi="Times New Roman" w:cs="Times New Roman"/>
          <w:sz w:val="24"/>
          <w:szCs w:val="24"/>
          <w:lang w:eastAsia="it-IT"/>
        </w:rPr>
        <w:t>35.</w:t>
      </w:r>
      <w:bookmarkEnd w:id="56"/>
      <w:r w:rsidRPr="00807A92">
        <w:rPr>
          <w:rFonts w:ascii="Times New Roman" w:eastAsia="Times New Roman" w:hAnsi="Times New Roman" w:cs="Times New Roman"/>
          <w:sz w:val="24"/>
          <w:szCs w:val="24"/>
          <w:lang w:eastAsia="it-IT"/>
        </w:rPr>
        <w:t xml:space="preserve">      However, the referring court clearly stated that it is, in part, faced with new, additional elements to the case not previously addressed by the Court. Thus, the issue does not concern a disregard for a previous decision of the Court. </w:t>
      </w:r>
    </w:p>
    <w:p w14:paraId="74A7DC4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36"/>
      <w:r w:rsidRPr="00807A92">
        <w:rPr>
          <w:rFonts w:ascii="Times New Roman" w:eastAsia="Times New Roman" w:hAnsi="Times New Roman" w:cs="Times New Roman"/>
          <w:sz w:val="24"/>
          <w:szCs w:val="24"/>
          <w:lang w:eastAsia="it-IT"/>
        </w:rPr>
        <w:t>36.</w:t>
      </w:r>
      <w:bookmarkEnd w:id="57"/>
      <w:r w:rsidRPr="00807A92">
        <w:rPr>
          <w:rFonts w:ascii="Times New Roman" w:eastAsia="Times New Roman" w:hAnsi="Times New Roman" w:cs="Times New Roman"/>
          <w:sz w:val="24"/>
          <w:szCs w:val="24"/>
          <w:lang w:eastAsia="it-IT"/>
        </w:rPr>
        <w:t xml:space="preserve">      Within such a context, is it impossible to state that EU law would preclude the Italian practice of giving the parties the opportunity to make their submissions in relation to an answer that was received from a superior court concerning a request made as part of those proceedings. At the hearing, the Italian Government stated that this is not only the practice adopted with regard to an answer received from the Court of Justice, but also with regard to answers received from the national constitutional court following a question of constitutionality submitted by a national judge. In such circumstances, the parties to the main proceedings are given a say as to the consequences that ought to be drawn for their case in view of the guidance issued by a superior jurisdiction. </w:t>
      </w:r>
    </w:p>
    <w:p w14:paraId="66BA2E3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37"/>
      <w:r w:rsidRPr="00807A92">
        <w:rPr>
          <w:rFonts w:ascii="Times New Roman" w:eastAsia="Times New Roman" w:hAnsi="Times New Roman" w:cs="Times New Roman"/>
          <w:sz w:val="24"/>
          <w:szCs w:val="24"/>
          <w:lang w:eastAsia="it-IT"/>
        </w:rPr>
        <w:t>37.</w:t>
      </w:r>
      <w:bookmarkEnd w:id="58"/>
      <w:r w:rsidRPr="00807A92">
        <w:rPr>
          <w:rFonts w:ascii="Times New Roman" w:eastAsia="Times New Roman" w:hAnsi="Times New Roman" w:cs="Times New Roman"/>
          <w:sz w:val="24"/>
          <w:szCs w:val="24"/>
          <w:lang w:eastAsia="it-IT"/>
        </w:rPr>
        <w:t xml:space="preserve">      In summary, unless the Court wished to restate the obvious without engaging with the deeper layer of this case, or unless it were to rather radically revisit some of the elements just outlined, I suggest that a discussion on the nature and the scope of the duty to refer a question for a preliminary ruling is warranted in the context of the present case. The interested parties presented different views on the matter. </w:t>
      </w:r>
    </w:p>
    <w:p w14:paraId="0F8BC43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38"/>
      <w:r w:rsidRPr="00807A92">
        <w:rPr>
          <w:rFonts w:ascii="Times New Roman" w:eastAsia="Times New Roman" w:hAnsi="Times New Roman" w:cs="Times New Roman"/>
          <w:sz w:val="24"/>
          <w:szCs w:val="24"/>
          <w:lang w:eastAsia="it-IT"/>
        </w:rPr>
        <w:t>38.</w:t>
      </w:r>
      <w:bookmarkEnd w:id="59"/>
      <w:r w:rsidRPr="00807A92">
        <w:rPr>
          <w:rFonts w:ascii="Times New Roman" w:eastAsia="Times New Roman" w:hAnsi="Times New Roman" w:cs="Times New Roman"/>
          <w:sz w:val="24"/>
          <w:szCs w:val="24"/>
          <w:lang w:eastAsia="it-IT"/>
        </w:rPr>
        <w:t>      In their submissions, the applicants and the defendant in the main proceedings focus primarily on Questions 2 and 3. With regard to the first question, the applicants maintain that requests for a preliminary ruling are redundant where there is established case-law unless the relevant judicial precedents are too old, or new arguments have been raised before the referring court, as is the case in the main proceedings. The defendant is of the view that the referring court should not have referred new questions as the interpretation of the EU law rules at issue was clear and as the Court’s case-law already provided an answer.</w:t>
      </w:r>
    </w:p>
    <w:p w14:paraId="7FF3D38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39"/>
      <w:r w:rsidRPr="00807A92">
        <w:rPr>
          <w:rFonts w:ascii="Times New Roman" w:eastAsia="Times New Roman" w:hAnsi="Times New Roman" w:cs="Times New Roman"/>
          <w:sz w:val="24"/>
          <w:szCs w:val="24"/>
          <w:lang w:eastAsia="it-IT"/>
        </w:rPr>
        <w:t>39.</w:t>
      </w:r>
      <w:bookmarkEnd w:id="60"/>
      <w:r w:rsidRPr="00807A92">
        <w:rPr>
          <w:rFonts w:ascii="Times New Roman" w:eastAsia="Times New Roman" w:hAnsi="Times New Roman" w:cs="Times New Roman"/>
          <w:sz w:val="24"/>
          <w:szCs w:val="24"/>
          <w:lang w:eastAsia="it-IT"/>
        </w:rPr>
        <w:t xml:space="preserve">      The German, French and Italian Governments, as well as the Commission, all address the first question in greater detail, presenting a range of views. The German Government and the Commission consider that there is no reason to revisit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in any way.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 xml:space="preserve">The German </w:t>
      </w:r>
      <w:r w:rsidRPr="00807A92">
        <w:rPr>
          <w:rFonts w:ascii="Times New Roman" w:eastAsia="Times New Roman" w:hAnsi="Times New Roman" w:cs="Times New Roman"/>
          <w:sz w:val="24"/>
          <w:szCs w:val="24"/>
          <w:lang w:eastAsia="it-IT"/>
        </w:rPr>
        <w:lastRenderedPageBreak/>
        <w:t xml:space="preserve">Government points out that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criteria have withstood the test of time and ought to be maintained. </w:t>
      </w:r>
    </w:p>
    <w:p w14:paraId="48063EC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40"/>
      <w:r w:rsidRPr="00807A92">
        <w:rPr>
          <w:rFonts w:ascii="Times New Roman" w:eastAsia="Times New Roman" w:hAnsi="Times New Roman" w:cs="Times New Roman"/>
          <w:sz w:val="24"/>
          <w:szCs w:val="24"/>
          <w:lang w:eastAsia="it-IT"/>
        </w:rPr>
        <w:t>40.</w:t>
      </w:r>
      <w:bookmarkEnd w:id="61"/>
      <w:r w:rsidRPr="00807A92">
        <w:rPr>
          <w:rFonts w:ascii="Times New Roman" w:eastAsia="Times New Roman" w:hAnsi="Times New Roman" w:cs="Times New Roman"/>
          <w:sz w:val="24"/>
          <w:szCs w:val="24"/>
          <w:lang w:eastAsia="it-IT"/>
        </w:rPr>
        <w:t>      The Italian Government called for a better balancing between the duty to refer and the sound administration of justice. According to that government, courts of last instance would infringe the third paragraph of Article 267 TFEU only if they omit to take into consideration questions on EU law raised by the parties or declare them unfounded without a statement of reasons. That government is of the view that that statement of reasons is crucial. It could even mitigate the liability incurred by Member States for the failure of their courts of last instance to refer.</w:t>
      </w:r>
    </w:p>
    <w:p w14:paraId="32A236D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41"/>
      <w:r w:rsidRPr="00807A92">
        <w:rPr>
          <w:rFonts w:ascii="Times New Roman" w:eastAsia="Times New Roman" w:hAnsi="Times New Roman" w:cs="Times New Roman"/>
          <w:sz w:val="24"/>
          <w:szCs w:val="24"/>
          <w:lang w:eastAsia="it-IT"/>
        </w:rPr>
        <w:t>41.</w:t>
      </w:r>
      <w:bookmarkEnd w:id="62"/>
      <w:r w:rsidRPr="00807A92">
        <w:rPr>
          <w:rFonts w:ascii="Times New Roman" w:eastAsia="Times New Roman" w:hAnsi="Times New Roman" w:cs="Times New Roman"/>
          <w:sz w:val="24"/>
          <w:szCs w:val="24"/>
          <w:lang w:eastAsia="it-IT"/>
        </w:rPr>
        <w:t xml:space="preserve">      The French Government suggested that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criteria should be (re)interpreted in the light of the overall purpose of Article 267 TFEU and in the light of the current state of EU law, taking into account the structural changes that have occurred. The duty to refer should focus on important questions of interpretation and on questions that can give rise to divergent interpretations within the Union, not necessarily on individual cases within the Member States. Questions concerning the application of EU law should not trigger the duty to refer. Such duty ought to be maintained only for general questions or questions that, albeit more casuistic, require the Court to set out a general framework of analysis or the criteria of legal reasoning. Although courts of last instance may still decide to refer other types of question, the requirements of the sound administration of justice and of the delivery of judgments within a reasonable period of time should be taken into account by the national courts, in particular when the Court has delivered a first preliminary ruling within the same proceedings.</w:t>
      </w:r>
    </w:p>
    <w:p w14:paraId="141E05C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B.      </w:t>
      </w:r>
      <w:r w:rsidRPr="00807A92">
        <w:rPr>
          <w:rFonts w:ascii="Times New Roman" w:eastAsia="Times New Roman" w:hAnsi="Times New Roman" w:cs="Times New Roman"/>
          <w:b/>
          <w:bCs/>
          <w:i/>
          <w:iCs/>
          <w:sz w:val="24"/>
          <w:szCs w:val="24"/>
          <w:lang w:eastAsia="it-IT"/>
        </w:rPr>
        <w:t xml:space="preserve">CILFIT </w:t>
      </w:r>
      <w:r w:rsidRPr="00807A92">
        <w:rPr>
          <w:rFonts w:ascii="Times New Roman" w:eastAsia="Times New Roman" w:hAnsi="Times New Roman" w:cs="Times New Roman"/>
          <w:b/>
          <w:bCs/>
          <w:sz w:val="24"/>
          <w:szCs w:val="24"/>
          <w:lang w:eastAsia="it-IT"/>
        </w:rPr>
        <w:t>(and its progeny)</w:t>
      </w:r>
    </w:p>
    <w:p w14:paraId="5ED0AE4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42"/>
      <w:r w:rsidRPr="00807A92">
        <w:rPr>
          <w:rFonts w:ascii="Times New Roman" w:eastAsia="Times New Roman" w:hAnsi="Times New Roman" w:cs="Times New Roman"/>
          <w:sz w:val="24"/>
          <w:szCs w:val="24"/>
          <w:lang w:eastAsia="it-IT"/>
        </w:rPr>
        <w:t>42.</w:t>
      </w:r>
      <w:bookmarkEnd w:id="63"/>
      <w:r w:rsidRPr="00807A92">
        <w:rPr>
          <w:rFonts w:ascii="Times New Roman" w:eastAsia="Times New Roman" w:hAnsi="Times New Roman" w:cs="Times New Roman"/>
          <w:sz w:val="24"/>
          <w:szCs w:val="24"/>
          <w:lang w:eastAsia="it-IT"/>
        </w:rPr>
        <w:t xml:space="preserve">      Pursuant to the third paragraph of Article 267 TFEU, courts or tribunals of a Member State against whose decisions there is no judicial remedy under national law are under a duty to refer questions on the interpretation or on the validity of EU law to the Court of Justice. </w:t>
      </w:r>
    </w:p>
    <w:p w14:paraId="06BAFE3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43"/>
      <w:r w:rsidRPr="00807A92">
        <w:rPr>
          <w:rFonts w:ascii="Times New Roman" w:eastAsia="Times New Roman" w:hAnsi="Times New Roman" w:cs="Times New Roman"/>
          <w:sz w:val="24"/>
          <w:szCs w:val="24"/>
          <w:lang w:eastAsia="it-IT"/>
        </w:rPr>
        <w:t>43.</w:t>
      </w:r>
      <w:bookmarkEnd w:id="64"/>
      <w:r w:rsidRPr="00807A92">
        <w:rPr>
          <w:rFonts w:ascii="Times New Roman" w:eastAsia="Times New Roman" w:hAnsi="Times New Roman" w:cs="Times New Roman"/>
          <w:sz w:val="24"/>
          <w:szCs w:val="24"/>
          <w:lang w:eastAsia="it-IT"/>
        </w:rPr>
        <w:t>      There is thus clearly, in the text of the Treaty, a duty on courts of last instance (</w:t>
      </w:r>
      <w:bookmarkStart w:id="65" w:name="Footref22"/>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"Footnote22"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22</w:t>
      </w:r>
      <w:r w:rsidRPr="00807A92">
        <w:rPr>
          <w:rFonts w:ascii="Times New Roman" w:eastAsia="Times New Roman" w:hAnsi="Times New Roman" w:cs="Times New Roman"/>
          <w:sz w:val="24"/>
          <w:szCs w:val="24"/>
          <w:lang w:eastAsia="it-IT"/>
        </w:rPr>
        <w:fldChar w:fldCharType="end"/>
      </w:r>
      <w:bookmarkEnd w:id="65"/>
      <w:r w:rsidRPr="00807A92">
        <w:rPr>
          <w:rFonts w:ascii="Times New Roman" w:eastAsia="Times New Roman" w:hAnsi="Times New Roman" w:cs="Times New Roman"/>
          <w:sz w:val="24"/>
          <w:szCs w:val="24"/>
          <w:lang w:eastAsia="it-IT"/>
        </w:rPr>
        <w:t xml:space="preserve">) to refer to the Court questions covered by the first paragraph of that article. However, as is the case with a number of primary law provisions, the rest is simply a case-law construct. </w:t>
      </w:r>
    </w:p>
    <w:p w14:paraId="4EB63ED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44"/>
      <w:r w:rsidRPr="00807A92">
        <w:rPr>
          <w:rFonts w:ascii="Times New Roman" w:eastAsia="Times New Roman" w:hAnsi="Times New Roman" w:cs="Times New Roman"/>
          <w:sz w:val="24"/>
          <w:szCs w:val="24"/>
          <w:lang w:eastAsia="it-IT"/>
        </w:rPr>
        <w:t>44.</w:t>
      </w:r>
      <w:bookmarkEnd w:id="66"/>
      <w:r w:rsidRPr="00807A92">
        <w:rPr>
          <w:rFonts w:ascii="Times New Roman" w:eastAsia="Times New Roman" w:hAnsi="Times New Roman" w:cs="Times New Roman"/>
          <w:sz w:val="24"/>
          <w:szCs w:val="24"/>
          <w:lang w:eastAsia="it-IT"/>
        </w:rPr>
        <w:t xml:space="preserve">      First, the text of the Treaty does not distinguish between questions of interpretation and questions of validity in terms of the scope of the obligation to refer. However, as regards questions on </w:t>
      </w:r>
      <w:r w:rsidRPr="00807A92">
        <w:rPr>
          <w:rFonts w:ascii="Times New Roman" w:eastAsia="Times New Roman" w:hAnsi="Times New Roman" w:cs="Times New Roman"/>
          <w:i/>
          <w:iCs/>
          <w:sz w:val="24"/>
          <w:szCs w:val="24"/>
          <w:lang w:eastAsia="it-IT"/>
        </w:rPr>
        <w:t>validity</w:t>
      </w:r>
      <w:r w:rsidRPr="00807A92">
        <w:rPr>
          <w:rFonts w:ascii="Times New Roman" w:eastAsia="Times New Roman" w:hAnsi="Times New Roman" w:cs="Times New Roman"/>
          <w:sz w:val="24"/>
          <w:szCs w:val="24"/>
          <w:lang w:eastAsia="it-IT"/>
        </w:rPr>
        <w:t xml:space="preserve">, the Court has stated that </w:t>
      </w:r>
      <w:r w:rsidRPr="00807A92">
        <w:rPr>
          <w:rFonts w:ascii="Times New Roman" w:eastAsia="Times New Roman" w:hAnsi="Times New Roman" w:cs="Times New Roman"/>
          <w:i/>
          <w:iCs/>
          <w:sz w:val="24"/>
          <w:szCs w:val="24"/>
          <w:lang w:eastAsia="it-IT"/>
        </w:rPr>
        <w:t xml:space="preserve">all </w:t>
      </w:r>
      <w:r w:rsidRPr="00807A92">
        <w:rPr>
          <w:rFonts w:ascii="Times New Roman" w:eastAsia="Times New Roman" w:hAnsi="Times New Roman" w:cs="Times New Roman"/>
          <w:sz w:val="24"/>
          <w:szCs w:val="24"/>
          <w:lang w:eastAsia="it-IT"/>
        </w:rPr>
        <w:t>national courts, that is to say not only those of last instance, are under an unreserved obligation to refer to the Court such questions. National courts have no jurisdiction themselves to determine the validity of acts of the EU institutions. (</w:t>
      </w:r>
      <w:bookmarkStart w:id="67" w:name="Footref23"/>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"Footnote23"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23</w:t>
      </w:r>
      <w:r w:rsidRPr="00807A92">
        <w:rPr>
          <w:rFonts w:ascii="Times New Roman" w:eastAsia="Times New Roman" w:hAnsi="Times New Roman" w:cs="Times New Roman"/>
          <w:sz w:val="24"/>
          <w:szCs w:val="24"/>
          <w:lang w:eastAsia="it-IT"/>
        </w:rPr>
        <w:fldChar w:fldCharType="end"/>
      </w:r>
      <w:bookmarkEnd w:id="67"/>
      <w:r w:rsidRPr="00807A92">
        <w:rPr>
          <w:rFonts w:ascii="Times New Roman" w:eastAsia="Times New Roman" w:hAnsi="Times New Roman" w:cs="Times New Roman"/>
          <w:sz w:val="24"/>
          <w:szCs w:val="24"/>
          <w:lang w:eastAsia="it-IT"/>
        </w:rPr>
        <w:t>)</w:t>
      </w:r>
      <w:r w:rsidRPr="00807A92">
        <w:rPr>
          <w:rFonts w:ascii="Times New Roman" w:eastAsia="Times New Roman" w:hAnsi="Times New Roman" w:cs="Times New Roman"/>
          <w:b/>
          <w:bCs/>
          <w:sz w:val="24"/>
          <w:szCs w:val="24"/>
          <w:lang w:eastAsia="it-IT"/>
        </w:rPr>
        <w:t> </w:t>
      </w:r>
      <w:r w:rsidRPr="00807A92">
        <w:rPr>
          <w:rFonts w:ascii="Times New Roman" w:eastAsia="Times New Roman" w:hAnsi="Times New Roman" w:cs="Times New Roman"/>
          <w:sz w:val="24"/>
          <w:szCs w:val="24"/>
          <w:lang w:eastAsia="it-IT"/>
        </w:rPr>
        <w:t>The requirement of uniformity is particularly essential where the validity of an EU act is in question. Differences between courts of the Member States as to the validity of EU acts would be liable to jeopardise the essential unity of the EU legal order and undermine the fundamental requirement of legal certainty. (</w:t>
      </w:r>
      <w:bookmarkStart w:id="68" w:name="Footref24"/>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"Footnote24"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24</w:t>
      </w:r>
      <w:r w:rsidRPr="00807A92">
        <w:rPr>
          <w:rFonts w:ascii="Times New Roman" w:eastAsia="Times New Roman" w:hAnsi="Times New Roman" w:cs="Times New Roman"/>
          <w:sz w:val="24"/>
          <w:szCs w:val="24"/>
          <w:lang w:eastAsia="it-IT"/>
        </w:rPr>
        <w:fldChar w:fldCharType="end"/>
      </w:r>
      <w:bookmarkEnd w:id="68"/>
      <w:r w:rsidRPr="00807A92">
        <w:rPr>
          <w:rFonts w:ascii="Times New Roman" w:eastAsia="Times New Roman" w:hAnsi="Times New Roman" w:cs="Times New Roman"/>
          <w:sz w:val="24"/>
          <w:szCs w:val="24"/>
          <w:lang w:eastAsia="it-IT"/>
        </w:rPr>
        <w:t>)</w:t>
      </w:r>
    </w:p>
    <w:p w14:paraId="4095C24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45"/>
      <w:r w:rsidRPr="00807A92">
        <w:rPr>
          <w:rFonts w:ascii="Times New Roman" w:eastAsia="Times New Roman" w:hAnsi="Times New Roman" w:cs="Times New Roman"/>
          <w:sz w:val="24"/>
          <w:szCs w:val="24"/>
          <w:lang w:eastAsia="it-IT"/>
        </w:rPr>
        <w:t>45.</w:t>
      </w:r>
      <w:bookmarkEnd w:id="69"/>
      <w:r w:rsidRPr="00807A92">
        <w:rPr>
          <w:rFonts w:ascii="Times New Roman" w:eastAsia="Times New Roman" w:hAnsi="Times New Roman" w:cs="Times New Roman"/>
          <w:sz w:val="24"/>
          <w:szCs w:val="24"/>
          <w:lang w:eastAsia="it-IT"/>
        </w:rPr>
        <w:t xml:space="preserve">      Such considerations place questions concerning the validity of EU law acts on a different and separate track. Crucially, since the reason for the categorical duty on all national courts to refer any issue of validity to the Court of Justice is different from the reasons for the duty to refer questions of interpretation, the same is true as regards their exceptions.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exceptions are </w:t>
      </w:r>
      <w:r w:rsidRPr="00807A92">
        <w:rPr>
          <w:rFonts w:ascii="Times New Roman" w:eastAsia="Times New Roman" w:hAnsi="Times New Roman" w:cs="Times New Roman"/>
          <w:i/>
          <w:iCs/>
          <w:sz w:val="24"/>
          <w:szCs w:val="24"/>
          <w:lang w:eastAsia="it-IT"/>
        </w:rPr>
        <w:t xml:space="preserve">not applicable </w:t>
      </w:r>
      <w:r w:rsidRPr="00807A92">
        <w:rPr>
          <w:rFonts w:ascii="Times New Roman" w:eastAsia="Times New Roman" w:hAnsi="Times New Roman" w:cs="Times New Roman"/>
          <w:sz w:val="24"/>
          <w:szCs w:val="24"/>
          <w:lang w:eastAsia="it-IT"/>
        </w:rPr>
        <w:t xml:space="preserve">to the duty to refer a question on </w:t>
      </w:r>
      <w:r w:rsidRPr="00807A92">
        <w:rPr>
          <w:rFonts w:ascii="Times New Roman" w:eastAsia="Times New Roman" w:hAnsi="Times New Roman" w:cs="Times New Roman"/>
          <w:i/>
          <w:iCs/>
          <w:sz w:val="24"/>
          <w:szCs w:val="24"/>
          <w:lang w:eastAsia="it-IT"/>
        </w:rPr>
        <w:t>validity</w:t>
      </w:r>
      <w:r w:rsidRPr="00807A92">
        <w:rPr>
          <w:rFonts w:ascii="Times New Roman" w:eastAsia="Times New Roman" w:hAnsi="Times New Roman" w:cs="Times New Roman"/>
          <w:sz w:val="24"/>
          <w:szCs w:val="24"/>
          <w:lang w:eastAsia="it-IT"/>
        </w:rPr>
        <w:t>. (</w:t>
      </w:r>
      <w:bookmarkStart w:id="70" w:name="Footref25"/>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"Footnote25"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25</w:t>
      </w:r>
      <w:r w:rsidRPr="00807A92">
        <w:rPr>
          <w:rFonts w:ascii="Times New Roman" w:eastAsia="Times New Roman" w:hAnsi="Times New Roman" w:cs="Times New Roman"/>
          <w:sz w:val="24"/>
          <w:szCs w:val="24"/>
          <w:lang w:eastAsia="it-IT"/>
        </w:rPr>
        <w:fldChar w:fldCharType="end"/>
      </w:r>
      <w:bookmarkEnd w:id="70"/>
      <w:r w:rsidRPr="00807A92">
        <w:rPr>
          <w:rFonts w:ascii="Times New Roman" w:eastAsia="Times New Roman" w:hAnsi="Times New Roman" w:cs="Times New Roman"/>
          <w:sz w:val="24"/>
          <w:szCs w:val="24"/>
          <w:lang w:eastAsia="it-IT"/>
        </w:rPr>
        <w:t>)</w:t>
      </w:r>
    </w:p>
    <w:p w14:paraId="4C4B078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46"/>
      <w:r w:rsidRPr="00807A92">
        <w:rPr>
          <w:rFonts w:ascii="Times New Roman" w:eastAsia="Times New Roman" w:hAnsi="Times New Roman" w:cs="Times New Roman"/>
          <w:sz w:val="24"/>
          <w:szCs w:val="24"/>
          <w:lang w:eastAsia="it-IT"/>
        </w:rPr>
        <w:t>46.</w:t>
      </w:r>
      <w:bookmarkEnd w:id="71"/>
      <w:r w:rsidRPr="00807A92">
        <w:rPr>
          <w:rFonts w:ascii="Times New Roman" w:eastAsia="Times New Roman" w:hAnsi="Times New Roman" w:cs="Times New Roman"/>
          <w:sz w:val="24"/>
          <w:szCs w:val="24"/>
          <w:lang w:eastAsia="it-IT"/>
        </w:rPr>
        <w:t xml:space="preserve">      It ought to be emphasised already at this stage that the following discussion in this Opinion concerns exclusively requests for a preliminary ruling on the interpretation of EU law. </w:t>
      </w:r>
    </w:p>
    <w:p w14:paraId="756C381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47"/>
      <w:r w:rsidRPr="00807A92">
        <w:rPr>
          <w:rFonts w:ascii="Times New Roman" w:eastAsia="Times New Roman" w:hAnsi="Times New Roman" w:cs="Times New Roman"/>
          <w:sz w:val="24"/>
          <w:szCs w:val="24"/>
          <w:lang w:eastAsia="it-IT"/>
        </w:rPr>
        <w:lastRenderedPageBreak/>
        <w:t>47.</w:t>
      </w:r>
      <w:bookmarkEnd w:id="72"/>
      <w:r w:rsidRPr="00807A92">
        <w:rPr>
          <w:rFonts w:ascii="Times New Roman" w:eastAsia="Times New Roman" w:hAnsi="Times New Roman" w:cs="Times New Roman"/>
          <w:sz w:val="24"/>
          <w:szCs w:val="24"/>
          <w:lang w:eastAsia="it-IT"/>
        </w:rPr>
        <w:t xml:space="preserve">      Second, it is fair to admit that, on its text, the third paragraph of Article 267 TFEU sets out a categorical duty to make a reference which is incumbent on national courts of last instance, </w:t>
      </w:r>
      <w:r w:rsidRPr="00807A92">
        <w:rPr>
          <w:rFonts w:ascii="Times New Roman" w:eastAsia="Times New Roman" w:hAnsi="Times New Roman" w:cs="Times New Roman"/>
          <w:i/>
          <w:iCs/>
          <w:sz w:val="24"/>
          <w:szCs w:val="24"/>
          <w:lang w:eastAsia="it-IT"/>
        </w:rPr>
        <w:t>without any exceptions</w:t>
      </w:r>
      <w:r w:rsidRPr="00807A92">
        <w:rPr>
          <w:rFonts w:ascii="Times New Roman" w:eastAsia="Times New Roman" w:hAnsi="Times New Roman" w:cs="Times New Roman"/>
          <w:sz w:val="24"/>
          <w:szCs w:val="24"/>
          <w:lang w:eastAsia="it-IT"/>
        </w:rPr>
        <w:t xml:space="preserve">: ‘where any such question </w:t>
      </w:r>
      <w:r w:rsidRPr="00807A92">
        <w:rPr>
          <w:rFonts w:ascii="Times New Roman" w:eastAsia="Times New Roman" w:hAnsi="Times New Roman" w:cs="Times New Roman"/>
          <w:i/>
          <w:iCs/>
          <w:sz w:val="24"/>
          <w:szCs w:val="24"/>
          <w:lang w:eastAsia="it-IT"/>
        </w:rPr>
        <w:t>is raised</w:t>
      </w:r>
      <w:r w:rsidRPr="00807A92">
        <w:rPr>
          <w:rFonts w:ascii="Times New Roman" w:eastAsia="Times New Roman" w:hAnsi="Times New Roman" w:cs="Times New Roman"/>
          <w:sz w:val="24"/>
          <w:szCs w:val="24"/>
          <w:lang w:eastAsia="it-IT"/>
        </w:rPr>
        <w:t xml:space="preserve"> … that court … </w:t>
      </w:r>
      <w:r w:rsidRPr="00807A92">
        <w:rPr>
          <w:rFonts w:ascii="Times New Roman" w:eastAsia="Times New Roman" w:hAnsi="Times New Roman" w:cs="Times New Roman"/>
          <w:i/>
          <w:iCs/>
          <w:sz w:val="24"/>
          <w:szCs w:val="24"/>
          <w:lang w:eastAsia="it-IT"/>
        </w:rPr>
        <w:t>shall bring</w:t>
      </w:r>
      <w:r w:rsidRPr="00807A92">
        <w:rPr>
          <w:rFonts w:ascii="Times New Roman" w:eastAsia="Times New Roman" w:hAnsi="Times New Roman" w:cs="Times New Roman"/>
          <w:sz w:val="24"/>
          <w:szCs w:val="24"/>
          <w:lang w:eastAsia="it-IT"/>
        </w:rPr>
        <w:t xml:space="preserve"> the matter before the Court.’ In this regard, it is the case-law of the Court that has effectively pencilled in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exceptions regarding questions on </w:t>
      </w:r>
      <w:r w:rsidRPr="00807A92">
        <w:rPr>
          <w:rFonts w:ascii="Times New Roman" w:eastAsia="Times New Roman" w:hAnsi="Times New Roman" w:cs="Times New Roman"/>
          <w:i/>
          <w:iCs/>
          <w:sz w:val="24"/>
          <w:szCs w:val="24"/>
          <w:lang w:eastAsia="it-IT"/>
        </w:rPr>
        <w:t>interpretation</w:t>
      </w:r>
      <w:r w:rsidRPr="00807A92">
        <w:rPr>
          <w:rFonts w:ascii="Times New Roman" w:eastAsia="Times New Roman" w:hAnsi="Times New Roman" w:cs="Times New Roman"/>
          <w:sz w:val="24"/>
          <w:szCs w:val="24"/>
          <w:lang w:eastAsia="it-IT"/>
        </w:rPr>
        <w:t xml:space="preserve">. </w:t>
      </w:r>
    </w:p>
    <w:p w14:paraId="53B145E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48"/>
      <w:r w:rsidRPr="00807A92">
        <w:rPr>
          <w:rFonts w:ascii="Times New Roman" w:eastAsia="Times New Roman" w:hAnsi="Times New Roman" w:cs="Times New Roman"/>
          <w:sz w:val="24"/>
          <w:szCs w:val="24"/>
          <w:lang w:eastAsia="it-IT"/>
        </w:rPr>
        <w:t>48.</w:t>
      </w:r>
      <w:bookmarkEnd w:id="73"/>
      <w:r w:rsidRPr="00807A92">
        <w:rPr>
          <w:rFonts w:ascii="Times New Roman" w:eastAsia="Times New Roman" w:hAnsi="Times New Roman" w:cs="Times New Roman"/>
          <w:sz w:val="24"/>
          <w:szCs w:val="24"/>
          <w:lang w:eastAsia="it-IT"/>
        </w:rPr>
        <w:t xml:space="preserve">      I am certainly not raising this point in order to insinuate that such exceptions are incorrect or unlawful. On the contrary, they are, in fact, necessary. However, the reason for my wish to underline this as a preliminary point to the discussion that follows is to emphasise the fact that when it comes to the nature and the scope of the duty to refer or the exceptions to that duty, the argument that ‘this cannot be altered because it is written like that in the Treaty’ is somewhat peculiar. In terms of what is the exact scope of the duty to make a request for a preliminary ruling, Article 267 TFEU is a notably open text. In terms of the exceptions to that duty, the Treaty is completely silent. To be more precise, if one wished to be a nagging textualist, one could even suggest that the text of Article 267 TFEU precludes there being any exception to the duty to refer. </w:t>
      </w:r>
    </w:p>
    <w:p w14:paraId="52D30CD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1.      </w:t>
      </w:r>
      <w:r w:rsidRPr="00807A92">
        <w:rPr>
          <w:rFonts w:ascii="Times New Roman" w:eastAsia="Times New Roman" w:hAnsi="Times New Roman" w:cs="Times New Roman"/>
          <w:b/>
          <w:bCs/>
          <w:i/>
          <w:iCs/>
          <w:sz w:val="24"/>
          <w:szCs w:val="24"/>
          <w:lang w:eastAsia="it-IT"/>
        </w:rPr>
        <w:t>The reasons for the duty to refer </w:t>
      </w:r>
    </w:p>
    <w:p w14:paraId="059FE20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49"/>
      <w:r w:rsidRPr="00807A92">
        <w:rPr>
          <w:rFonts w:ascii="Times New Roman" w:eastAsia="Times New Roman" w:hAnsi="Times New Roman" w:cs="Times New Roman"/>
          <w:sz w:val="24"/>
          <w:szCs w:val="24"/>
          <w:lang w:eastAsia="it-IT"/>
        </w:rPr>
        <w:t>49.</w:t>
      </w:r>
      <w:bookmarkEnd w:id="74"/>
      <w:r w:rsidRPr="00807A92">
        <w:rPr>
          <w:rFonts w:ascii="Times New Roman" w:eastAsia="Times New Roman" w:hAnsi="Times New Roman" w:cs="Times New Roman"/>
          <w:sz w:val="24"/>
          <w:szCs w:val="24"/>
          <w:lang w:eastAsia="it-IT"/>
        </w:rPr>
        <w:t xml:space="preserve">      In general terms, ‘the system set up by Article 267 TFEU … establishes between the Court of Justice and the national courts direct cooperation as part of which the latter are closely involved in the </w:t>
      </w:r>
      <w:r w:rsidRPr="00807A92">
        <w:rPr>
          <w:rFonts w:ascii="Times New Roman" w:eastAsia="Times New Roman" w:hAnsi="Times New Roman" w:cs="Times New Roman"/>
          <w:i/>
          <w:iCs/>
          <w:sz w:val="24"/>
          <w:szCs w:val="24"/>
          <w:lang w:eastAsia="it-IT"/>
        </w:rPr>
        <w:t>correct application</w:t>
      </w:r>
      <w:r w:rsidRPr="00807A92">
        <w:rPr>
          <w:rFonts w:ascii="Times New Roman" w:eastAsia="Times New Roman" w:hAnsi="Times New Roman" w:cs="Times New Roman"/>
          <w:sz w:val="24"/>
          <w:szCs w:val="24"/>
          <w:lang w:eastAsia="it-IT"/>
        </w:rPr>
        <w:t xml:space="preserve"> and </w:t>
      </w:r>
      <w:r w:rsidRPr="00807A92">
        <w:rPr>
          <w:rFonts w:ascii="Times New Roman" w:eastAsia="Times New Roman" w:hAnsi="Times New Roman" w:cs="Times New Roman"/>
          <w:i/>
          <w:iCs/>
          <w:sz w:val="24"/>
          <w:szCs w:val="24"/>
          <w:lang w:eastAsia="it-IT"/>
        </w:rPr>
        <w:t>uniform interpretation</w:t>
      </w:r>
      <w:r w:rsidRPr="00807A92">
        <w:rPr>
          <w:rFonts w:ascii="Times New Roman" w:eastAsia="Times New Roman" w:hAnsi="Times New Roman" w:cs="Times New Roman"/>
          <w:sz w:val="24"/>
          <w:szCs w:val="24"/>
          <w:lang w:eastAsia="it-IT"/>
        </w:rPr>
        <w:t xml:space="preserve"> of European Union law and also in the protection of individual rights conferred by that legal order’. (</w:t>
      </w:r>
      <w:bookmarkStart w:id="75" w:name="Footref26"/>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"Footnote26"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26</w:t>
      </w:r>
      <w:r w:rsidRPr="00807A92">
        <w:rPr>
          <w:rFonts w:ascii="Times New Roman" w:eastAsia="Times New Roman" w:hAnsi="Times New Roman" w:cs="Times New Roman"/>
          <w:sz w:val="24"/>
          <w:szCs w:val="24"/>
          <w:lang w:eastAsia="it-IT"/>
        </w:rPr>
        <w:fldChar w:fldCharType="end"/>
      </w:r>
      <w:bookmarkEnd w:id="75"/>
      <w:r w:rsidRPr="00807A92">
        <w:rPr>
          <w:rFonts w:ascii="Times New Roman" w:eastAsia="Times New Roman" w:hAnsi="Times New Roman" w:cs="Times New Roman"/>
          <w:sz w:val="24"/>
          <w:szCs w:val="24"/>
          <w:lang w:eastAsia="it-IT"/>
        </w:rPr>
        <w:t>)</w:t>
      </w:r>
    </w:p>
    <w:p w14:paraId="61B0000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50"/>
      <w:r w:rsidRPr="00807A92">
        <w:rPr>
          <w:rFonts w:ascii="Times New Roman" w:eastAsia="Times New Roman" w:hAnsi="Times New Roman" w:cs="Times New Roman"/>
          <w:sz w:val="24"/>
          <w:szCs w:val="24"/>
          <w:lang w:eastAsia="it-IT"/>
        </w:rPr>
        <w:t>50.</w:t>
      </w:r>
      <w:bookmarkEnd w:id="76"/>
      <w:r w:rsidRPr="00807A92">
        <w:rPr>
          <w:rFonts w:ascii="Times New Roman" w:eastAsia="Times New Roman" w:hAnsi="Times New Roman" w:cs="Times New Roman"/>
          <w:sz w:val="24"/>
          <w:szCs w:val="24"/>
          <w:lang w:eastAsia="it-IT"/>
        </w:rPr>
        <w:t xml:space="preserve">      However, the Treaty requires more from the national courts of last instance, covered by the third paragraph of Article 267 TFEU, than it does from any court or tribunal under the second paragraph of thereof. There must therefore be some further, structural reasons as to why, in addition to the </w:t>
      </w:r>
      <w:r w:rsidRPr="00807A92">
        <w:rPr>
          <w:rFonts w:ascii="Times New Roman" w:eastAsia="Times New Roman" w:hAnsi="Times New Roman" w:cs="Times New Roman"/>
          <w:i/>
          <w:iCs/>
          <w:sz w:val="24"/>
          <w:szCs w:val="24"/>
          <w:lang w:eastAsia="it-IT"/>
        </w:rPr>
        <w:t xml:space="preserve">discretion </w:t>
      </w:r>
      <w:r w:rsidRPr="00807A92">
        <w:rPr>
          <w:rFonts w:ascii="Times New Roman" w:eastAsia="Times New Roman" w:hAnsi="Times New Roman" w:cs="Times New Roman"/>
          <w:sz w:val="24"/>
          <w:szCs w:val="24"/>
          <w:lang w:eastAsia="it-IT"/>
        </w:rPr>
        <w:t xml:space="preserve">to refer open to all national courts or tribunals, last-instance courts are under a </w:t>
      </w:r>
      <w:r w:rsidRPr="00807A92">
        <w:rPr>
          <w:rFonts w:ascii="Times New Roman" w:eastAsia="Times New Roman" w:hAnsi="Times New Roman" w:cs="Times New Roman"/>
          <w:i/>
          <w:iCs/>
          <w:sz w:val="24"/>
          <w:szCs w:val="24"/>
          <w:lang w:eastAsia="it-IT"/>
        </w:rPr>
        <w:t>duty</w:t>
      </w:r>
      <w:r w:rsidRPr="00807A92">
        <w:rPr>
          <w:rFonts w:ascii="Times New Roman" w:eastAsia="Times New Roman" w:hAnsi="Times New Roman" w:cs="Times New Roman"/>
          <w:sz w:val="24"/>
          <w:szCs w:val="24"/>
          <w:lang w:eastAsia="it-IT"/>
        </w:rPr>
        <w:t xml:space="preserve"> to refer. </w:t>
      </w:r>
    </w:p>
    <w:p w14:paraId="37FE480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51"/>
      <w:r w:rsidRPr="00807A92">
        <w:rPr>
          <w:rFonts w:ascii="Times New Roman" w:eastAsia="Times New Roman" w:hAnsi="Times New Roman" w:cs="Times New Roman"/>
          <w:sz w:val="24"/>
          <w:szCs w:val="24"/>
          <w:lang w:eastAsia="it-IT"/>
        </w:rPr>
        <w:t>51.</w:t>
      </w:r>
      <w:bookmarkEnd w:id="77"/>
      <w:r w:rsidRPr="00807A92">
        <w:rPr>
          <w:rFonts w:ascii="Times New Roman" w:eastAsia="Times New Roman" w:hAnsi="Times New Roman" w:cs="Times New Roman"/>
          <w:sz w:val="24"/>
          <w:szCs w:val="24"/>
          <w:lang w:eastAsia="it-IT"/>
        </w:rPr>
        <w:t xml:space="preserve">      The structural reason for the obligation incumbent on courts of last instance was stated early on in </w:t>
      </w:r>
      <w:r w:rsidRPr="00807A92">
        <w:rPr>
          <w:rFonts w:ascii="Times New Roman" w:eastAsia="Times New Roman" w:hAnsi="Times New Roman" w:cs="Times New Roman"/>
          <w:i/>
          <w:iCs/>
          <w:sz w:val="24"/>
          <w:szCs w:val="24"/>
          <w:lang w:eastAsia="it-IT"/>
        </w:rPr>
        <w:t>Hoffmann-Laroche</w:t>
      </w:r>
      <w:r w:rsidRPr="00807A92">
        <w:rPr>
          <w:rFonts w:ascii="Times New Roman" w:eastAsia="Times New Roman" w:hAnsi="Times New Roman" w:cs="Times New Roman"/>
          <w:sz w:val="24"/>
          <w:szCs w:val="24"/>
          <w:lang w:eastAsia="it-IT"/>
        </w:rPr>
        <w:t>: ‘to prevent a body of national case-law [that is] not in accordance with the rules of EU law from being established in any of the Member States’. (</w:t>
      </w:r>
      <w:bookmarkStart w:id="78" w:name="Footref27"/>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"Footnote27"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27</w:t>
      </w:r>
      <w:r w:rsidRPr="00807A92">
        <w:rPr>
          <w:rFonts w:ascii="Times New Roman" w:eastAsia="Times New Roman" w:hAnsi="Times New Roman" w:cs="Times New Roman"/>
          <w:sz w:val="24"/>
          <w:szCs w:val="24"/>
          <w:lang w:eastAsia="it-IT"/>
        </w:rPr>
        <w:fldChar w:fldCharType="end"/>
      </w:r>
      <w:bookmarkEnd w:id="78"/>
      <w:r w:rsidRPr="00807A92">
        <w:rPr>
          <w:rFonts w:ascii="Times New Roman" w:eastAsia="Times New Roman" w:hAnsi="Times New Roman" w:cs="Times New Roman"/>
          <w:sz w:val="24"/>
          <w:szCs w:val="24"/>
          <w:lang w:eastAsia="it-IT"/>
        </w:rPr>
        <w:t>) In other words, the special purpose of the third paragraph of Article 267 TFEU is the need ‘to prevent the occurrence within the [Union] of divergences in judicial decisions on questions of [Union] law’. (</w:t>
      </w:r>
      <w:bookmarkStart w:id="79" w:name="Footref28"/>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"Footnote28"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28</w:t>
      </w:r>
      <w:r w:rsidRPr="00807A92">
        <w:rPr>
          <w:rFonts w:ascii="Times New Roman" w:eastAsia="Times New Roman" w:hAnsi="Times New Roman" w:cs="Times New Roman"/>
          <w:sz w:val="24"/>
          <w:szCs w:val="24"/>
          <w:lang w:eastAsia="it-IT"/>
        </w:rPr>
        <w:fldChar w:fldCharType="end"/>
      </w:r>
      <w:bookmarkEnd w:id="79"/>
      <w:r w:rsidRPr="00807A92">
        <w:rPr>
          <w:rFonts w:ascii="Times New Roman" w:eastAsia="Times New Roman" w:hAnsi="Times New Roman" w:cs="Times New Roman"/>
          <w:sz w:val="24"/>
          <w:szCs w:val="24"/>
          <w:lang w:eastAsia="it-IT"/>
        </w:rPr>
        <w:t>) The limitation of that obligation to last-instance courts is specifically justified by the fact that ‘a court adjudicating at last instance is by definition the last judicial body before which individuals may assert the rights conferred on them by EU law. Courts adjudicating at last instance have the task of ensuring at national level the uniform interpretation of rules of law’. (</w:t>
      </w:r>
      <w:bookmarkStart w:id="80" w:name="Footref29"/>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"Footnote29"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29</w:t>
      </w:r>
      <w:r w:rsidRPr="00807A92">
        <w:rPr>
          <w:rFonts w:ascii="Times New Roman" w:eastAsia="Times New Roman" w:hAnsi="Times New Roman" w:cs="Times New Roman"/>
          <w:sz w:val="24"/>
          <w:szCs w:val="24"/>
          <w:lang w:eastAsia="it-IT"/>
        </w:rPr>
        <w:fldChar w:fldCharType="end"/>
      </w:r>
      <w:bookmarkEnd w:id="80"/>
      <w:r w:rsidRPr="00807A92">
        <w:rPr>
          <w:rFonts w:ascii="Times New Roman" w:eastAsia="Times New Roman" w:hAnsi="Times New Roman" w:cs="Times New Roman"/>
          <w:sz w:val="24"/>
          <w:szCs w:val="24"/>
          <w:lang w:eastAsia="it-IT"/>
        </w:rPr>
        <w:t>)</w:t>
      </w:r>
    </w:p>
    <w:p w14:paraId="311D86C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52"/>
      <w:r w:rsidRPr="00807A92">
        <w:rPr>
          <w:rFonts w:ascii="Times New Roman" w:eastAsia="Times New Roman" w:hAnsi="Times New Roman" w:cs="Times New Roman"/>
          <w:sz w:val="24"/>
          <w:szCs w:val="24"/>
          <w:lang w:eastAsia="it-IT"/>
        </w:rPr>
        <w:t>52.</w:t>
      </w:r>
      <w:bookmarkEnd w:id="81"/>
      <w:r w:rsidRPr="00807A92">
        <w:rPr>
          <w:rFonts w:ascii="Times New Roman" w:eastAsia="Times New Roman" w:hAnsi="Times New Roman" w:cs="Times New Roman"/>
          <w:sz w:val="24"/>
          <w:szCs w:val="24"/>
          <w:lang w:eastAsia="it-IT"/>
        </w:rPr>
        <w:t xml:space="preserve">      Thus, besides the desire to assist the national court in the correct interpretation or application of EU law in the individual case, which appears to be the overarching logic of Article 267 TFEU, the logic of the obligation to make a reference has been stated in systemic, structural terms: to prevent divergence in EU case-law. Logically then, that aim is indeed best pursued at the level of those national courts that tend themselves to be entrusted with the aim of ensuring unity at the national level. </w:t>
      </w:r>
    </w:p>
    <w:p w14:paraId="54C7C15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53"/>
      <w:r w:rsidRPr="00807A92">
        <w:rPr>
          <w:rFonts w:ascii="Times New Roman" w:eastAsia="Times New Roman" w:hAnsi="Times New Roman" w:cs="Times New Roman"/>
          <w:sz w:val="24"/>
          <w:szCs w:val="24"/>
          <w:lang w:eastAsia="it-IT"/>
        </w:rPr>
        <w:t>53.</w:t>
      </w:r>
      <w:bookmarkEnd w:id="82"/>
      <w:r w:rsidRPr="00807A92">
        <w:rPr>
          <w:rFonts w:ascii="Times New Roman" w:eastAsia="Times New Roman" w:hAnsi="Times New Roman" w:cs="Times New Roman"/>
          <w:sz w:val="24"/>
          <w:szCs w:val="24"/>
          <w:lang w:eastAsia="it-IT"/>
        </w:rPr>
        <w:t>      However, it is fair to acknowledge that in the statements (and in the application practice) of this Court over the years, the reason for the duty to refer has not always been expressed in such consistent terms. Sometimes the terms used are uniform interpretation and application of EU law; (</w:t>
      </w:r>
      <w:bookmarkStart w:id="83" w:name="Footref30"/>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"Footnote30"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30</w:t>
      </w:r>
      <w:r w:rsidRPr="00807A92">
        <w:rPr>
          <w:rFonts w:ascii="Times New Roman" w:eastAsia="Times New Roman" w:hAnsi="Times New Roman" w:cs="Times New Roman"/>
          <w:sz w:val="24"/>
          <w:szCs w:val="24"/>
          <w:lang w:eastAsia="it-IT"/>
        </w:rPr>
        <w:fldChar w:fldCharType="end"/>
      </w:r>
      <w:bookmarkEnd w:id="83"/>
      <w:r w:rsidRPr="00807A92">
        <w:rPr>
          <w:rFonts w:ascii="Times New Roman" w:eastAsia="Times New Roman" w:hAnsi="Times New Roman" w:cs="Times New Roman"/>
          <w:sz w:val="24"/>
          <w:szCs w:val="24"/>
          <w:lang w:eastAsia="it-IT"/>
        </w:rPr>
        <w:t>) sometimes the term is proper or correct application and uniform interpretation; (</w:t>
      </w:r>
      <w:bookmarkStart w:id="84" w:name="Footref31"/>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"Footnote31"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31</w:t>
      </w:r>
      <w:r w:rsidRPr="00807A92">
        <w:rPr>
          <w:rFonts w:ascii="Times New Roman" w:eastAsia="Times New Roman" w:hAnsi="Times New Roman" w:cs="Times New Roman"/>
          <w:sz w:val="24"/>
          <w:szCs w:val="24"/>
          <w:lang w:eastAsia="it-IT"/>
        </w:rPr>
        <w:fldChar w:fldCharType="end"/>
      </w:r>
      <w:bookmarkEnd w:id="84"/>
      <w:r w:rsidRPr="00807A92">
        <w:rPr>
          <w:rFonts w:ascii="Times New Roman" w:eastAsia="Times New Roman" w:hAnsi="Times New Roman" w:cs="Times New Roman"/>
          <w:sz w:val="24"/>
          <w:szCs w:val="24"/>
          <w:lang w:eastAsia="it-IT"/>
        </w:rPr>
        <w:t>) sometimes even just uniform application. (</w:t>
      </w:r>
      <w:bookmarkStart w:id="85" w:name="Footref32"/>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"Footnote32"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32</w:t>
      </w:r>
      <w:r w:rsidRPr="00807A92">
        <w:rPr>
          <w:rFonts w:ascii="Times New Roman" w:eastAsia="Times New Roman" w:hAnsi="Times New Roman" w:cs="Times New Roman"/>
          <w:sz w:val="24"/>
          <w:szCs w:val="24"/>
          <w:lang w:eastAsia="it-IT"/>
        </w:rPr>
        <w:fldChar w:fldCharType="end"/>
      </w:r>
      <w:bookmarkEnd w:id="85"/>
      <w:r w:rsidRPr="00807A92">
        <w:rPr>
          <w:rFonts w:ascii="Times New Roman" w:eastAsia="Times New Roman" w:hAnsi="Times New Roman" w:cs="Times New Roman"/>
          <w:sz w:val="24"/>
          <w:szCs w:val="24"/>
          <w:lang w:eastAsia="it-IT"/>
        </w:rPr>
        <w:t>)</w:t>
      </w:r>
    </w:p>
    <w:p w14:paraId="0E5183B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86" w:name="point54"/>
      <w:r w:rsidRPr="00807A92">
        <w:rPr>
          <w:rFonts w:ascii="Times New Roman" w:eastAsia="Times New Roman" w:hAnsi="Times New Roman" w:cs="Times New Roman"/>
          <w:sz w:val="24"/>
          <w:szCs w:val="24"/>
          <w:lang w:eastAsia="it-IT"/>
        </w:rPr>
        <w:lastRenderedPageBreak/>
        <w:t>54.</w:t>
      </w:r>
      <w:bookmarkEnd w:id="86"/>
      <w:r w:rsidRPr="00807A92">
        <w:rPr>
          <w:rFonts w:ascii="Times New Roman" w:eastAsia="Times New Roman" w:hAnsi="Times New Roman" w:cs="Times New Roman"/>
          <w:sz w:val="24"/>
          <w:szCs w:val="24"/>
          <w:lang w:eastAsia="it-IT"/>
        </w:rPr>
        <w:t xml:space="preserve">      These may be merely unintentional alterations in the wording used. However, on other occasions, they are indicative of a deeper discrepancy. They hint at an ongoing tension in terms of how differently the </w:t>
      </w:r>
      <w:r w:rsidRPr="00807A92">
        <w:rPr>
          <w:rFonts w:ascii="Times New Roman" w:eastAsia="Times New Roman" w:hAnsi="Times New Roman" w:cs="Times New Roman"/>
          <w:i/>
          <w:iCs/>
          <w:sz w:val="24"/>
          <w:szCs w:val="24"/>
          <w:lang w:eastAsia="it-IT"/>
        </w:rPr>
        <w:t xml:space="preserve">obligation </w:t>
      </w:r>
      <w:r w:rsidRPr="00807A92">
        <w:rPr>
          <w:rFonts w:ascii="Times New Roman" w:eastAsia="Times New Roman" w:hAnsi="Times New Roman" w:cs="Times New Roman"/>
          <w:sz w:val="24"/>
          <w:szCs w:val="24"/>
          <w:lang w:eastAsia="it-IT"/>
        </w:rPr>
        <w:t xml:space="preserve">under the third paragraph of Article 267 TFEU should be construed from the </w:t>
      </w:r>
      <w:r w:rsidRPr="00807A92">
        <w:rPr>
          <w:rFonts w:ascii="Times New Roman" w:eastAsia="Times New Roman" w:hAnsi="Times New Roman" w:cs="Times New Roman"/>
          <w:i/>
          <w:iCs/>
          <w:sz w:val="24"/>
          <w:szCs w:val="24"/>
          <w:lang w:eastAsia="it-IT"/>
        </w:rPr>
        <w:t xml:space="preserve">possibility </w:t>
      </w:r>
      <w:r w:rsidRPr="00807A92">
        <w:rPr>
          <w:rFonts w:ascii="Times New Roman" w:eastAsia="Times New Roman" w:hAnsi="Times New Roman" w:cs="Times New Roman"/>
          <w:sz w:val="24"/>
          <w:szCs w:val="24"/>
          <w:lang w:eastAsia="it-IT"/>
        </w:rPr>
        <w:t xml:space="preserve">under the second paragraph. </w:t>
      </w:r>
    </w:p>
    <w:p w14:paraId="6837048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87" w:name="point55"/>
      <w:r w:rsidRPr="00807A92">
        <w:rPr>
          <w:rFonts w:ascii="Times New Roman" w:eastAsia="Times New Roman" w:hAnsi="Times New Roman" w:cs="Times New Roman"/>
          <w:sz w:val="24"/>
          <w:szCs w:val="24"/>
          <w:lang w:eastAsia="it-IT"/>
        </w:rPr>
        <w:t>55.</w:t>
      </w:r>
      <w:bookmarkEnd w:id="87"/>
      <w:r w:rsidRPr="00807A92">
        <w:rPr>
          <w:rFonts w:ascii="Times New Roman" w:eastAsia="Times New Roman" w:hAnsi="Times New Roman" w:cs="Times New Roman"/>
          <w:sz w:val="24"/>
          <w:szCs w:val="24"/>
          <w:lang w:eastAsia="it-IT"/>
        </w:rPr>
        <w:t xml:space="preserve">      The </w:t>
      </w:r>
      <w:r w:rsidRPr="00807A92">
        <w:rPr>
          <w:rFonts w:ascii="Times New Roman" w:eastAsia="Times New Roman" w:hAnsi="Times New Roman" w:cs="Times New Roman"/>
          <w:i/>
          <w:iCs/>
          <w:sz w:val="24"/>
          <w:szCs w:val="24"/>
          <w:lang w:eastAsia="it-IT"/>
        </w:rPr>
        <w:t xml:space="preserve">possibility </w:t>
      </w:r>
      <w:r w:rsidRPr="00807A92">
        <w:rPr>
          <w:rFonts w:ascii="Times New Roman" w:eastAsia="Times New Roman" w:hAnsi="Times New Roman" w:cs="Times New Roman"/>
          <w:sz w:val="24"/>
          <w:szCs w:val="24"/>
          <w:lang w:eastAsia="it-IT"/>
        </w:rPr>
        <w:t xml:space="preserve">under the second paragraph, as well as the overall purpose of the preliminary rulings procedure, is no doubt to assist national courts in resolving </w:t>
      </w:r>
      <w:r w:rsidRPr="00807A92">
        <w:rPr>
          <w:rFonts w:ascii="Times New Roman" w:eastAsia="Times New Roman" w:hAnsi="Times New Roman" w:cs="Times New Roman"/>
          <w:i/>
          <w:iCs/>
          <w:sz w:val="24"/>
          <w:szCs w:val="24"/>
          <w:lang w:eastAsia="it-IT"/>
        </w:rPr>
        <w:t xml:space="preserve">individual </w:t>
      </w:r>
      <w:r w:rsidRPr="00807A92">
        <w:rPr>
          <w:rFonts w:ascii="Times New Roman" w:eastAsia="Times New Roman" w:hAnsi="Times New Roman" w:cs="Times New Roman"/>
          <w:sz w:val="24"/>
          <w:szCs w:val="24"/>
          <w:lang w:eastAsia="it-IT"/>
        </w:rPr>
        <w:t xml:space="preserve">cases involving elements of EU law. That case-focused ‘micro purpose’ certainly serves, in the long run, the more systemic ‘macro purpose’ of the preliminary rulings procedure. It gradually builds up a system of precedents (or, in the language of the Court, established case-law), which helps to ensure the application of EU law uniformly across the European Union. </w:t>
      </w:r>
    </w:p>
    <w:p w14:paraId="21B4C0D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88" w:name="point56"/>
      <w:r w:rsidRPr="00807A92">
        <w:rPr>
          <w:rFonts w:ascii="Times New Roman" w:eastAsia="Times New Roman" w:hAnsi="Times New Roman" w:cs="Times New Roman"/>
          <w:sz w:val="24"/>
          <w:szCs w:val="24"/>
          <w:lang w:eastAsia="it-IT"/>
        </w:rPr>
        <w:t>56.</w:t>
      </w:r>
      <w:bookmarkEnd w:id="88"/>
      <w:r w:rsidRPr="00807A92">
        <w:rPr>
          <w:rFonts w:ascii="Times New Roman" w:eastAsia="Times New Roman" w:hAnsi="Times New Roman" w:cs="Times New Roman"/>
          <w:sz w:val="24"/>
          <w:szCs w:val="24"/>
          <w:lang w:eastAsia="it-IT"/>
        </w:rPr>
        <w:t xml:space="preserve">      However, can the </w:t>
      </w:r>
      <w:r w:rsidRPr="00807A92">
        <w:rPr>
          <w:rFonts w:ascii="Times New Roman" w:eastAsia="Times New Roman" w:hAnsi="Times New Roman" w:cs="Times New Roman"/>
          <w:i/>
          <w:iCs/>
          <w:sz w:val="24"/>
          <w:szCs w:val="24"/>
          <w:lang w:eastAsia="it-IT"/>
        </w:rPr>
        <w:t>obligation</w:t>
      </w:r>
      <w:r w:rsidRPr="00807A92">
        <w:rPr>
          <w:rFonts w:ascii="Times New Roman" w:eastAsia="Times New Roman" w:hAnsi="Times New Roman" w:cs="Times New Roman"/>
          <w:sz w:val="24"/>
          <w:szCs w:val="24"/>
          <w:lang w:eastAsia="it-IT"/>
        </w:rPr>
        <w:t xml:space="preserve"> to make a reference be understood as a simple extension of the </w:t>
      </w:r>
      <w:r w:rsidRPr="00807A92">
        <w:rPr>
          <w:rFonts w:ascii="Times New Roman" w:eastAsia="Times New Roman" w:hAnsi="Times New Roman" w:cs="Times New Roman"/>
          <w:i/>
          <w:iCs/>
          <w:sz w:val="24"/>
          <w:szCs w:val="24"/>
          <w:lang w:eastAsia="it-IT"/>
        </w:rPr>
        <w:t xml:space="preserve">possibility </w:t>
      </w:r>
      <w:r w:rsidRPr="00807A92">
        <w:rPr>
          <w:rFonts w:ascii="Times New Roman" w:eastAsia="Times New Roman" w:hAnsi="Times New Roman" w:cs="Times New Roman"/>
          <w:sz w:val="24"/>
          <w:szCs w:val="24"/>
          <w:lang w:eastAsia="it-IT"/>
        </w:rPr>
        <w:t xml:space="preserve">to make a reference, as an attempt to identify instances in which something that has as its foundation the option to refer suddenly becomes a structural obligation, with the individual national judge who might have ‘subjective doubt’ suddenly finding himself or herself in ‘objective need’ of the assistance of the Court? </w:t>
      </w:r>
    </w:p>
    <w:p w14:paraId="2E56311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2.      </w:t>
      </w:r>
      <w:r w:rsidRPr="00807A92">
        <w:rPr>
          <w:rFonts w:ascii="Times New Roman" w:eastAsia="Times New Roman" w:hAnsi="Times New Roman" w:cs="Times New Roman"/>
          <w:b/>
          <w:bCs/>
          <w:i/>
          <w:iCs/>
          <w:sz w:val="24"/>
          <w:szCs w:val="24"/>
          <w:lang w:eastAsia="it-IT"/>
        </w:rPr>
        <w:t>The exceptions to the duty </w:t>
      </w:r>
    </w:p>
    <w:p w14:paraId="3BA5784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89" w:name="point57"/>
      <w:r w:rsidRPr="00807A92">
        <w:rPr>
          <w:rFonts w:ascii="Times New Roman" w:eastAsia="Times New Roman" w:hAnsi="Times New Roman" w:cs="Times New Roman"/>
          <w:sz w:val="24"/>
          <w:szCs w:val="24"/>
          <w:lang w:eastAsia="it-IT"/>
        </w:rPr>
        <w:t>57.</w:t>
      </w:r>
      <w:bookmarkEnd w:id="89"/>
      <w:r w:rsidRPr="00807A92">
        <w:rPr>
          <w:rFonts w:ascii="Times New Roman" w:eastAsia="Times New Roman" w:hAnsi="Times New Roman" w:cs="Times New Roman"/>
          <w:sz w:val="24"/>
          <w:szCs w:val="24"/>
          <w:lang w:eastAsia="it-IT"/>
        </w:rPr>
        <w:t>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concerned a dispute between wool importers and the Italian Ministry of Health regarding the payment of a health inspection levy in respect of wool imported from outside the (then) Community. The importers relied on a provision of a regulation prohibiting Member States from levying any charge having an effect equivalent to a customs duty on certain imported animal products. The Ministry of Health contended that wool was not included under the Treaty and thus was not subject to that regulation.</w:t>
      </w:r>
    </w:p>
    <w:p w14:paraId="5602FAA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90" w:name="point58"/>
      <w:r w:rsidRPr="00807A92">
        <w:rPr>
          <w:rFonts w:ascii="Times New Roman" w:eastAsia="Times New Roman" w:hAnsi="Times New Roman" w:cs="Times New Roman"/>
          <w:sz w:val="24"/>
          <w:szCs w:val="24"/>
          <w:lang w:eastAsia="it-IT"/>
        </w:rPr>
        <w:t>58.</w:t>
      </w:r>
      <w:bookmarkEnd w:id="90"/>
      <w:r w:rsidRPr="00807A92">
        <w:rPr>
          <w:rFonts w:ascii="Times New Roman" w:eastAsia="Times New Roman" w:hAnsi="Times New Roman" w:cs="Times New Roman"/>
          <w:sz w:val="24"/>
          <w:szCs w:val="24"/>
          <w:lang w:eastAsia="it-IT"/>
        </w:rPr>
        <w:t>      Against that background, the Corte Suprema di Cassazione (Supreme Court of Cassation, Italy) referred a question on the interpretation of the third paragraph of the then Article 177 of the EEC Treaty (now Article 267 TFEU), enquiring essentially whether the obligation to refer is automatic or conditional on the prior finding of a reasonable interpretative doubt. According to the Ministry of Health, the interpretation of the regulation was so obvious as to rule out the possibility of there being any interpretative doubt, thereby obviating the need to refer the matter to the Court. The importers concerned maintained that, since a question concerning the interpretation of a regulation was raised before a supreme court, against whose decisions there is no judicial remedy under national law, that court could not escape the obligation to bring the matter before the Court of Justice.</w:t>
      </w:r>
    </w:p>
    <w:p w14:paraId="4B55C1F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91" w:name="point59"/>
      <w:r w:rsidRPr="00807A92">
        <w:rPr>
          <w:rFonts w:ascii="Times New Roman" w:eastAsia="Times New Roman" w:hAnsi="Times New Roman" w:cs="Times New Roman"/>
          <w:sz w:val="24"/>
          <w:szCs w:val="24"/>
          <w:lang w:eastAsia="it-IT"/>
        </w:rPr>
        <w:t>59.</w:t>
      </w:r>
      <w:bookmarkEnd w:id="91"/>
      <w:r w:rsidRPr="00807A92">
        <w:rPr>
          <w:rFonts w:ascii="Times New Roman" w:eastAsia="Times New Roman" w:hAnsi="Times New Roman" w:cs="Times New Roman"/>
          <w:sz w:val="24"/>
          <w:szCs w:val="24"/>
          <w:lang w:eastAsia="it-IT"/>
        </w:rPr>
        <w:t>      In its judgment, the Court first recalled the purpose of the obligation to refer, which was ‘established with a view to ensuring the proper application and uniform interpretation of Community law in all the Member States … More particularly, the third paragraph of Article 177 seeks to prevent the occurrence within the Community of divergences in judicial decisions on questions of Community law. The scope of that obligation must therefore be assessed, in view of those objectives …’ (</w:t>
      </w:r>
      <w:bookmarkStart w:id="92" w:name="Footref33"/>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"Footnote33"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33</w:t>
      </w:r>
      <w:r w:rsidRPr="00807A92">
        <w:rPr>
          <w:rFonts w:ascii="Times New Roman" w:eastAsia="Times New Roman" w:hAnsi="Times New Roman" w:cs="Times New Roman"/>
          <w:sz w:val="24"/>
          <w:szCs w:val="24"/>
          <w:lang w:eastAsia="it-IT"/>
        </w:rPr>
        <w:fldChar w:fldCharType="end"/>
      </w:r>
      <w:bookmarkEnd w:id="92"/>
      <w:r w:rsidRPr="00807A92">
        <w:rPr>
          <w:rFonts w:ascii="Times New Roman" w:eastAsia="Times New Roman" w:hAnsi="Times New Roman" w:cs="Times New Roman"/>
          <w:sz w:val="24"/>
          <w:szCs w:val="24"/>
          <w:lang w:eastAsia="it-IT"/>
        </w:rPr>
        <w:t>)</w:t>
      </w:r>
    </w:p>
    <w:p w14:paraId="33FFD60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93" w:name="point60"/>
      <w:r w:rsidRPr="00807A92">
        <w:rPr>
          <w:rFonts w:ascii="Times New Roman" w:eastAsia="Times New Roman" w:hAnsi="Times New Roman" w:cs="Times New Roman"/>
          <w:sz w:val="24"/>
          <w:szCs w:val="24"/>
          <w:lang w:eastAsia="it-IT"/>
        </w:rPr>
        <w:t>60.</w:t>
      </w:r>
      <w:bookmarkEnd w:id="93"/>
      <w:r w:rsidRPr="00807A92">
        <w:rPr>
          <w:rFonts w:ascii="Times New Roman" w:eastAsia="Times New Roman" w:hAnsi="Times New Roman" w:cs="Times New Roman"/>
          <w:sz w:val="24"/>
          <w:szCs w:val="24"/>
          <w:lang w:eastAsia="it-IT"/>
        </w:rPr>
        <w:t xml:space="preserve">      Thereafter, in </w:t>
      </w:r>
      <w:r w:rsidRPr="00807A92">
        <w:rPr>
          <w:rFonts w:ascii="Times New Roman" w:eastAsia="Times New Roman" w:hAnsi="Times New Roman" w:cs="Times New Roman"/>
          <w:i/>
          <w:iCs/>
          <w:sz w:val="24"/>
          <w:szCs w:val="24"/>
          <w:lang w:eastAsia="it-IT"/>
        </w:rPr>
        <w:t>view of those objectives</w:t>
      </w:r>
      <w:r w:rsidRPr="00807A92">
        <w:rPr>
          <w:rFonts w:ascii="Times New Roman" w:eastAsia="Times New Roman" w:hAnsi="Times New Roman" w:cs="Times New Roman"/>
          <w:sz w:val="24"/>
          <w:szCs w:val="24"/>
          <w:lang w:eastAsia="it-IT"/>
        </w:rPr>
        <w:t xml:space="preserve">, the Court held that the obligation to make a reference is not absolute. It laid down three exceptions to the duty to refer of courts of last instance. </w:t>
      </w:r>
    </w:p>
    <w:p w14:paraId="78C2E9E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94" w:name="point61"/>
      <w:r w:rsidRPr="00807A92">
        <w:rPr>
          <w:rFonts w:ascii="Times New Roman" w:eastAsia="Times New Roman" w:hAnsi="Times New Roman" w:cs="Times New Roman"/>
          <w:sz w:val="24"/>
          <w:szCs w:val="24"/>
          <w:lang w:eastAsia="it-IT"/>
        </w:rPr>
        <w:t>61.</w:t>
      </w:r>
      <w:bookmarkEnd w:id="94"/>
      <w:r w:rsidRPr="00807A92">
        <w:rPr>
          <w:rFonts w:ascii="Times New Roman" w:eastAsia="Times New Roman" w:hAnsi="Times New Roman" w:cs="Times New Roman"/>
          <w:sz w:val="24"/>
          <w:szCs w:val="24"/>
          <w:lang w:eastAsia="it-IT"/>
        </w:rPr>
        <w:t xml:space="preserve">      First, courts of last instance are not obliged to refer a question on interpretation ‘if that question is </w:t>
      </w:r>
      <w:r w:rsidRPr="00807A92">
        <w:rPr>
          <w:rFonts w:ascii="Times New Roman" w:eastAsia="Times New Roman" w:hAnsi="Times New Roman" w:cs="Times New Roman"/>
          <w:i/>
          <w:iCs/>
          <w:sz w:val="24"/>
          <w:szCs w:val="24"/>
          <w:lang w:eastAsia="it-IT"/>
        </w:rPr>
        <w:t>not relevant</w:t>
      </w:r>
      <w:r w:rsidRPr="00807A92">
        <w:rPr>
          <w:rFonts w:ascii="Times New Roman" w:eastAsia="Times New Roman" w:hAnsi="Times New Roman" w:cs="Times New Roman"/>
          <w:sz w:val="24"/>
          <w:szCs w:val="24"/>
          <w:lang w:eastAsia="it-IT"/>
        </w:rPr>
        <w:t>, that is to say, if the answer to that question, regardless of what it may be, can in no way affect the outcome of the case’. (</w:t>
      </w:r>
      <w:bookmarkStart w:id="95" w:name="Footref34"/>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"Footnote34"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34</w:t>
      </w:r>
      <w:r w:rsidRPr="00807A92">
        <w:rPr>
          <w:rFonts w:ascii="Times New Roman" w:eastAsia="Times New Roman" w:hAnsi="Times New Roman" w:cs="Times New Roman"/>
          <w:sz w:val="24"/>
          <w:szCs w:val="24"/>
          <w:lang w:eastAsia="it-IT"/>
        </w:rPr>
        <w:fldChar w:fldCharType="end"/>
      </w:r>
      <w:bookmarkEnd w:id="95"/>
      <w:r w:rsidRPr="00807A92">
        <w:rPr>
          <w:rFonts w:ascii="Times New Roman" w:eastAsia="Times New Roman" w:hAnsi="Times New Roman" w:cs="Times New Roman"/>
          <w:sz w:val="24"/>
          <w:szCs w:val="24"/>
          <w:lang w:eastAsia="it-IT"/>
        </w:rPr>
        <w:t>) </w:t>
      </w:r>
    </w:p>
    <w:p w14:paraId="68949D4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96" w:name="point62"/>
      <w:r w:rsidRPr="00807A92">
        <w:rPr>
          <w:rFonts w:ascii="Times New Roman" w:eastAsia="Times New Roman" w:hAnsi="Times New Roman" w:cs="Times New Roman"/>
          <w:sz w:val="24"/>
          <w:szCs w:val="24"/>
          <w:lang w:eastAsia="it-IT"/>
        </w:rPr>
        <w:lastRenderedPageBreak/>
        <w:t>62.</w:t>
      </w:r>
      <w:bookmarkEnd w:id="96"/>
      <w:r w:rsidRPr="00807A92">
        <w:rPr>
          <w:rFonts w:ascii="Times New Roman" w:eastAsia="Times New Roman" w:hAnsi="Times New Roman" w:cs="Times New Roman"/>
          <w:sz w:val="24"/>
          <w:szCs w:val="24"/>
          <w:lang w:eastAsia="it-IT"/>
        </w:rPr>
        <w:t>      I agree that a discussion as to whether this is in fact an exception to a duty, or rather confirmation of the fact that no duty exists, is entirely possible. If there is no (relevant) issue of EU law, what then should or even could be asked? When the question referred lacks relevance for the outcome in the main proceedings, not only is there no duty to refer, but such a question would simply be inadmissible. (</w:t>
      </w:r>
      <w:bookmarkStart w:id="97" w:name="Footref35"/>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"Footnote35"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35</w:t>
      </w:r>
      <w:r w:rsidRPr="00807A92">
        <w:rPr>
          <w:rFonts w:ascii="Times New Roman" w:eastAsia="Times New Roman" w:hAnsi="Times New Roman" w:cs="Times New Roman"/>
          <w:sz w:val="24"/>
          <w:szCs w:val="24"/>
          <w:lang w:eastAsia="it-IT"/>
        </w:rPr>
        <w:fldChar w:fldCharType="end"/>
      </w:r>
      <w:bookmarkEnd w:id="97"/>
      <w:r w:rsidRPr="00807A92">
        <w:rPr>
          <w:rFonts w:ascii="Times New Roman" w:eastAsia="Times New Roman" w:hAnsi="Times New Roman" w:cs="Times New Roman"/>
          <w:sz w:val="24"/>
          <w:szCs w:val="24"/>
          <w:lang w:eastAsia="it-IT"/>
        </w:rPr>
        <w:t>)</w:t>
      </w:r>
    </w:p>
    <w:p w14:paraId="2861D28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98" w:name="point63"/>
      <w:r w:rsidRPr="00807A92">
        <w:rPr>
          <w:rFonts w:ascii="Times New Roman" w:eastAsia="Times New Roman" w:hAnsi="Times New Roman" w:cs="Times New Roman"/>
          <w:sz w:val="24"/>
          <w:szCs w:val="24"/>
          <w:lang w:eastAsia="it-IT"/>
        </w:rPr>
        <w:t>63.</w:t>
      </w:r>
      <w:bookmarkEnd w:id="98"/>
      <w:r w:rsidRPr="00807A92">
        <w:rPr>
          <w:rFonts w:ascii="Times New Roman" w:eastAsia="Times New Roman" w:hAnsi="Times New Roman" w:cs="Times New Roman"/>
          <w:sz w:val="24"/>
          <w:szCs w:val="24"/>
          <w:lang w:eastAsia="it-IT"/>
        </w:rPr>
        <w:t>      However, I think that the first ‘exception’ ought properly to be read in its temporal context. This was the first time that the Court stated that, despite the wording of the third paragraph of Article 267 TFEU, the same condition found in its second paragraph would also apply. However and perhaps more importantly, by building a bridge between those two paragraphs of Article 267 TFEU, the first exception became structurally tied to the individual case and the micro purpose of the request for a preliminary ruling: to assist national courts (of first- and last-instance) in settling a particular dispute pending before them when an issue of EU law arises.</w:t>
      </w:r>
    </w:p>
    <w:p w14:paraId="4BD57D6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99" w:name="point64"/>
      <w:r w:rsidRPr="00807A92">
        <w:rPr>
          <w:rFonts w:ascii="Times New Roman" w:eastAsia="Times New Roman" w:hAnsi="Times New Roman" w:cs="Times New Roman"/>
          <w:sz w:val="24"/>
          <w:szCs w:val="24"/>
          <w:lang w:eastAsia="it-IT"/>
        </w:rPr>
        <w:t>64.</w:t>
      </w:r>
      <w:bookmarkEnd w:id="99"/>
      <w:r w:rsidRPr="00807A92">
        <w:rPr>
          <w:rFonts w:ascii="Times New Roman" w:eastAsia="Times New Roman" w:hAnsi="Times New Roman" w:cs="Times New Roman"/>
          <w:sz w:val="24"/>
          <w:szCs w:val="24"/>
          <w:lang w:eastAsia="it-IT"/>
        </w:rPr>
        <w:t>      Second, there is no duty to refer where ‘the question raised is materially identical with a question which has already been the subject of a preliminary ruling in a similar case’, (</w:t>
      </w:r>
      <w:bookmarkStart w:id="100" w:name="Footref36"/>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"Footnote36"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36</w:t>
      </w:r>
      <w:r w:rsidRPr="00807A92">
        <w:rPr>
          <w:rFonts w:ascii="Times New Roman" w:eastAsia="Times New Roman" w:hAnsi="Times New Roman" w:cs="Times New Roman"/>
          <w:sz w:val="24"/>
          <w:szCs w:val="24"/>
          <w:lang w:eastAsia="it-IT"/>
        </w:rPr>
        <w:fldChar w:fldCharType="end"/>
      </w:r>
      <w:bookmarkEnd w:id="100"/>
      <w:r w:rsidRPr="00807A92">
        <w:rPr>
          <w:rFonts w:ascii="Times New Roman" w:eastAsia="Times New Roman" w:hAnsi="Times New Roman" w:cs="Times New Roman"/>
          <w:sz w:val="24"/>
          <w:szCs w:val="24"/>
          <w:lang w:eastAsia="it-IT"/>
        </w:rPr>
        <w:t>) and in situations in which ‘previous decisions of the Court have already dealt with the point of law in question, irrespective of the nature of the proceedings which led to those decisions, even though the questions at issue are not strictly identical’. (</w:t>
      </w:r>
      <w:bookmarkStart w:id="101" w:name="Footref37"/>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"Footnote37"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37</w:t>
      </w:r>
      <w:r w:rsidRPr="00807A92">
        <w:rPr>
          <w:rFonts w:ascii="Times New Roman" w:eastAsia="Times New Roman" w:hAnsi="Times New Roman" w:cs="Times New Roman"/>
          <w:sz w:val="24"/>
          <w:szCs w:val="24"/>
          <w:lang w:eastAsia="it-IT"/>
        </w:rPr>
        <w:fldChar w:fldCharType="end"/>
      </w:r>
      <w:bookmarkEnd w:id="101"/>
      <w:r w:rsidRPr="00807A92">
        <w:rPr>
          <w:rFonts w:ascii="Times New Roman" w:eastAsia="Times New Roman" w:hAnsi="Times New Roman" w:cs="Times New Roman"/>
          <w:sz w:val="24"/>
          <w:szCs w:val="24"/>
          <w:lang w:eastAsia="it-IT"/>
        </w:rPr>
        <w:t>)</w:t>
      </w:r>
    </w:p>
    <w:p w14:paraId="58397AE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02" w:name="point65"/>
      <w:r w:rsidRPr="00807A92">
        <w:rPr>
          <w:rFonts w:ascii="Times New Roman" w:eastAsia="Times New Roman" w:hAnsi="Times New Roman" w:cs="Times New Roman"/>
          <w:sz w:val="24"/>
          <w:szCs w:val="24"/>
          <w:lang w:eastAsia="it-IT"/>
        </w:rPr>
        <w:t>65.</w:t>
      </w:r>
      <w:bookmarkEnd w:id="102"/>
      <w:r w:rsidRPr="00807A92">
        <w:rPr>
          <w:rFonts w:ascii="Times New Roman" w:eastAsia="Times New Roman" w:hAnsi="Times New Roman" w:cs="Times New Roman"/>
          <w:sz w:val="24"/>
          <w:szCs w:val="24"/>
          <w:lang w:eastAsia="it-IT"/>
        </w:rPr>
        <w:t xml:space="preserve">      That second exception, described in colloquial terms as ‘acte éclairé’ (referred to as such in other languages too), covers situations in which a precedent has already been established by the Court. It came about as an extension of the scope of the </w:t>
      </w:r>
      <w:r w:rsidRPr="00807A92">
        <w:rPr>
          <w:rFonts w:ascii="Times New Roman" w:eastAsia="Times New Roman" w:hAnsi="Times New Roman" w:cs="Times New Roman"/>
          <w:i/>
          <w:iCs/>
          <w:sz w:val="24"/>
          <w:szCs w:val="24"/>
          <w:lang w:eastAsia="it-IT"/>
        </w:rPr>
        <w:t>Da Costa</w:t>
      </w:r>
      <w:r w:rsidRPr="00807A92">
        <w:rPr>
          <w:rFonts w:ascii="Times New Roman" w:eastAsia="Times New Roman" w:hAnsi="Times New Roman" w:cs="Times New Roman"/>
          <w:sz w:val="24"/>
          <w:szCs w:val="24"/>
          <w:lang w:eastAsia="it-IT"/>
        </w:rPr>
        <w:t xml:space="preserve"> judgment, where the Court held that ‘the authority of an interpretation … already given by the Court may deprive the obligation [to refer] of its purpose and thus empty it of its substance’. (</w:t>
      </w:r>
      <w:bookmarkStart w:id="103" w:name="Footref38"/>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"Footnote38"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38</w:t>
      </w:r>
      <w:r w:rsidRPr="00807A92">
        <w:rPr>
          <w:rFonts w:ascii="Times New Roman" w:eastAsia="Times New Roman" w:hAnsi="Times New Roman" w:cs="Times New Roman"/>
          <w:sz w:val="24"/>
          <w:szCs w:val="24"/>
          <w:lang w:eastAsia="it-IT"/>
        </w:rPr>
        <w:fldChar w:fldCharType="end"/>
      </w:r>
      <w:bookmarkEnd w:id="103"/>
      <w:r w:rsidRPr="00807A92">
        <w:rPr>
          <w:rFonts w:ascii="Times New Roman" w:eastAsia="Times New Roman" w:hAnsi="Times New Roman" w:cs="Times New Roman"/>
          <w:sz w:val="24"/>
          <w:szCs w:val="24"/>
          <w:lang w:eastAsia="it-IT"/>
        </w:rPr>
        <w:t>)</w:t>
      </w:r>
    </w:p>
    <w:p w14:paraId="302D455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04" w:name="point66"/>
      <w:r w:rsidRPr="00807A92">
        <w:rPr>
          <w:rFonts w:ascii="Times New Roman" w:eastAsia="Times New Roman" w:hAnsi="Times New Roman" w:cs="Times New Roman"/>
          <w:sz w:val="24"/>
          <w:szCs w:val="24"/>
          <w:lang w:eastAsia="it-IT"/>
        </w:rPr>
        <w:t>66.</w:t>
      </w:r>
      <w:bookmarkEnd w:id="104"/>
      <w:r w:rsidRPr="00807A92">
        <w:rPr>
          <w:rFonts w:ascii="Times New Roman" w:eastAsia="Times New Roman" w:hAnsi="Times New Roman" w:cs="Times New Roman"/>
          <w:sz w:val="24"/>
          <w:szCs w:val="24"/>
          <w:lang w:eastAsia="it-IT"/>
        </w:rPr>
        <w:t>      Third, the Court finally noted that there is no duty to refer when ‘the correct application of [Union] law may be so obvious as to leave no scope for any reasonable doubt as to the manner in which the question raised is to be resolved’. (</w:t>
      </w:r>
      <w:bookmarkStart w:id="105" w:name="Footref39"/>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"Footnote39"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39</w:t>
      </w:r>
      <w:r w:rsidRPr="00807A92">
        <w:rPr>
          <w:rFonts w:ascii="Times New Roman" w:eastAsia="Times New Roman" w:hAnsi="Times New Roman" w:cs="Times New Roman"/>
          <w:sz w:val="24"/>
          <w:szCs w:val="24"/>
          <w:lang w:eastAsia="it-IT"/>
        </w:rPr>
        <w:fldChar w:fldCharType="end"/>
      </w:r>
      <w:bookmarkEnd w:id="105"/>
      <w:r w:rsidRPr="00807A92">
        <w:rPr>
          <w:rFonts w:ascii="Times New Roman" w:eastAsia="Times New Roman" w:hAnsi="Times New Roman" w:cs="Times New Roman"/>
          <w:sz w:val="24"/>
          <w:szCs w:val="24"/>
          <w:lang w:eastAsia="it-IT"/>
        </w:rPr>
        <w:t xml:space="preserve">) In essence, this is how (arguably) the most well-known exception was born – the ‘no reasonable doubt’ exception or, as also referred to in other languages, the ‘acte clair’ exception. </w:t>
      </w:r>
    </w:p>
    <w:p w14:paraId="53C8F3E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06" w:name="point67"/>
      <w:r w:rsidRPr="00807A92">
        <w:rPr>
          <w:rFonts w:ascii="Times New Roman" w:eastAsia="Times New Roman" w:hAnsi="Times New Roman" w:cs="Times New Roman"/>
          <w:sz w:val="24"/>
          <w:szCs w:val="24"/>
          <w:lang w:eastAsia="it-IT"/>
        </w:rPr>
        <w:t>67.</w:t>
      </w:r>
      <w:bookmarkEnd w:id="106"/>
      <w:r w:rsidRPr="00807A92">
        <w:rPr>
          <w:rFonts w:ascii="Times New Roman" w:eastAsia="Times New Roman" w:hAnsi="Times New Roman" w:cs="Times New Roman"/>
          <w:sz w:val="24"/>
          <w:szCs w:val="24"/>
          <w:lang w:eastAsia="it-IT"/>
        </w:rPr>
        <w:t>      The Court went on to list several requirements that a national court must be convinced have been met in order to arrive at the conclusion that there is no scope for any reasonable doubt as to how to interpret the EU law provision at issue. It may be open to debate whether the requirement that the national court or tribunal must be ‘convinced that the matter is equally obvious to the courts of the other Member States and to the Court of Justice’ (</w:t>
      </w:r>
      <w:bookmarkStart w:id="107" w:name="Footref40"/>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"Footnote40"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40</w:t>
      </w:r>
      <w:r w:rsidRPr="00807A92">
        <w:rPr>
          <w:rFonts w:ascii="Times New Roman" w:eastAsia="Times New Roman" w:hAnsi="Times New Roman" w:cs="Times New Roman"/>
          <w:sz w:val="24"/>
          <w:szCs w:val="24"/>
          <w:lang w:eastAsia="it-IT"/>
        </w:rPr>
        <w:fldChar w:fldCharType="end"/>
      </w:r>
      <w:bookmarkEnd w:id="107"/>
      <w:r w:rsidRPr="00807A92">
        <w:rPr>
          <w:rFonts w:ascii="Times New Roman" w:eastAsia="Times New Roman" w:hAnsi="Times New Roman" w:cs="Times New Roman"/>
          <w:sz w:val="24"/>
          <w:szCs w:val="24"/>
          <w:lang w:eastAsia="it-IT"/>
        </w:rPr>
        <w:t xml:space="preserve">) is one of those specific requirements, or whether it is in fact a sort of general criterion which provides further guidance as to the type of situation in which there will be no reasonable doubt. </w:t>
      </w:r>
    </w:p>
    <w:p w14:paraId="5F4145E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08" w:name="point68"/>
      <w:r w:rsidRPr="00807A92">
        <w:rPr>
          <w:rFonts w:ascii="Times New Roman" w:eastAsia="Times New Roman" w:hAnsi="Times New Roman" w:cs="Times New Roman"/>
          <w:sz w:val="24"/>
          <w:szCs w:val="24"/>
          <w:lang w:eastAsia="it-IT"/>
        </w:rPr>
        <w:t>68.</w:t>
      </w:r>
      <w:bookmarkEnd w:id="108"/>
      <w:r w:rsidRPr="00807A92">
        <w:rPr>
          <w:rFonts w:ascii="Times New Roman" w:eastAsia="Times New Roman" w:hAnsi="Times New Roman" w:cs="Times New Roman"/>
          <w:sz w:val="24"/>
          <w:szCs w:val="24"/>
          <w:lang w:eastAsia="it-IT"/>
        </w:rPr>
        <w:t>      However, assuming that this is a ‘general’ criterion, the Court went on to list additional features characteristic of Community law that the national court ought to keep in mind before reaching such a conclusion. These include that: (i) ‘an interpretation of a provision of Community law … involves a comparison of the different language versions’; (</w:t>
      </w:r>
      <w:bookmarkStart w:id="109" w:name="Footref41"/>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"Footnote41"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41</w:t>
      </w:r>
      <w:r w:rsidRPr="00807A92">
        <w:rPr>
          <w:rFonts w:ascii="Times New Roman" w:eastAsia="Times New Roman" w:hAnsi="Times New Roman" w:cs="Times New Roman"/>
          <w:sz w:val="24"/>
          <w:szCs w:val="24"/>
          <w:lang w:eastAsia="it-IT"/>
        </w:rPr>
        <w:fldChar w:fldCharType="end"/>
      </w:r>
      <w:bookmarkEnd w:id="109"/>
      <w:r w:rsidRPr="00807A92">
        <w:rPr>
          <w:rFonts w:ascii="Times New Roman" w:eastAsia="Times New Roman" w:hAnsi="Times New Roman" w:cs="Times New Roman"/>
          <w:sz w:val="24"/>
          <w:szCs w:val="24"/>
          <w:lang w:eastAsia="it-IT"/>
        </w:rPr>
        <w:t>) (ii) ‘legal concepts do not necessarily have the same meaning in Community law and in the law of the various Member States’; (</w:t>
      </w:r>
      <w:bookmarkStart w:id="110" w:name="Footref42"/>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"Footnote42"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42</w:t>
      </w:r>
      <w:r w:rsidRPr="00807A92">
        <w:rPr>
          <w:rFonts w:ascii="Times New Roman" w:eastAsia="Times New Roman" w:hAnsi="Times New Roman" w:cs="Times New Roman"/>
          <w:sz w:val="24"/>
          <w:szCs w:val="24"/>
          <w:lang w:eastAsia="it-IT"/>
        </w:rPr>
        <w:fldChar w:fldCharType="end"/>
      </w:r>
      <w:bookmarkEnd w:id="110"/>
      <w:r w:rsidRPr="00807A92">
        <w:rPr>
          <w:rFonts w:ascii="Times New Roman" w:eastAsia="Times New Roman" w:hAnsi="Times New Roman" w:cs="Times New Roman"/>
          <w:sz w:val="24"/>
          <w:szCs w:val="24"/>
          <w:lang w:eastAsia="it-IT"/>
        </w:rPr>
        <w:t>) (iii) ‘every provision of Community law must be placed in its context and interpreted in the light of the provisions of Community law as a whole, regard being had to the objectives thereof and to its state of evolution at the date on which the provision in question is to be applied’. (</w:t>
      </w:r>
      <w:bookmarkStart w:id="111" w:name="Footref43"/>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"Footnote43"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43</w:t>
      </w:r>
      <w:r w:rsidRPr="00807A92">
        <w:rPr>
          <w:rFonts w:ascii="Times New Roman" w:eastAsia="Times New Roman" w:hAnsi="Times New Roman" w:cs="Times New Roman"/>
          <w:sz w:val="24"/>
          <w:szCs w:val="24"/>
          <w:lang w:eastAsia="it-IT"/>
        </w:rPr>
        <w:fldChar w:fldCharType="end"/>
      </w:r>
      <w:bookmarkEnd w:id="111"/>
      <w:r w:rsidRPr="00807A92">
        <w:rPr>
          <w:rFonts w:ascii="Times New Roman" w:eastAsia="Times New Roman" w:hAnsi="Times New Roman" w:cs="Times New Roman"/>
          <w:sz w:val="24"/>
          <w:szCs w:val="24"/>
          <w:lang w:eastAsia="it-IT"/>
        </w:rPr>
        <w:t>)</w:t>
      </w:r>
    </w:p>
    <w:p w14:paraId="66235AC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3.      </w:t>
      </w:r>
      <w:r w:rsidRPr="00807A92">
        <w:rPr>
          <w:rFonts w:ascii="Times New Roman" w:eastAsia="Times New Roman" w:hAnsi="Times New Roman" w:cs="Times New Roman"/>
          <w:b/>
          <w:bCs/>
          <w:i/>
          <w:iCs/>
          <w:sz w:val="24"/>
          <w:szCs w:val="24"/>
          <w:lang w:eastAsia="it-IT"/>
        </w:rPr>
        <w:t>The subsequent application practice (of this Court)</w:t>
      </w:r>
    </w:p>
    <w:p w14:paraId="755D5B8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12" w:name="point69"/>
      <w:r w:rsidRPr="00807A92">
        <w:rPr>
          <w:rFonts w:ascii="Times New Roman" w:eastAsia="Times New Roman" w:hAnsi="Times New Roman" w:cs="Times New Roman"/>
          <w:sz w:val="24"/>
          <w:szCs w:val="24"/>
          <w:lang w:eastAsia="it-IT"/>
        </w:rPr>
        <w:lastRenderedPageBreak/>
        <w:t>69.</w:t>
      </w:r>
      <w:bookmarkEnd w:id="112"/>
      <w:r w:rsidRPr="00807A92">
        <w:rPr>
          <w:rFonts w:ascii="Times New Roman" w:eastAsia="Times New Roman" w:hAnsi="Times New Roman" w:cs="Times New Roman"/>
          <w:sz w:val="24"/>
          <w:szCs w:val="24"/>
          <w:lang w:eastAsia="it-IT"/>
        </w:rPr>
        <w:t>      Over the years, there has been no shortage of scholarly (</w:t>
      </w:r>
      <w:bookmarkStart w:id="113" w:name="Footref44"/>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"Footnote44"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44</w:t>
      </w:r>
      <w:r w:rsidRPr="00807A92">
        <w:rPr>
          <w:rFonts w:ascii="Times New Roman" w:eastAsia="Times New Roman" w:hAnsi="Times New Roman" w:cs="Times New Roman"/>
          <w:sz w:val="24"/>
          <w:szCs w:val="24"/>
          <w:lang w:eastAsia="it-IT"/>
        </w:rPr>
        <w:fldChar w:fldCharType="end"/>
      </w:r>
      <w:bookmarkEnd w:id="113"/>
      <w:r w:rsidRPr="00807A92">
        <w:rPr>
          <w:rFonts w:ascii="Times New Roman" w:eastAsia="Times New Roman" w:hAnsi="Times New Roman" w:cs="Times New Roman"/>
          <w:sz w:val="24"/>
          <w:szCs w:val="24"/>
          <w:lang w:eastAsia="it-IT"/>
        </w:rPr>
        <w:t>) or even judicial (</w:t>
      </w:r>
      <w:bookmarkStart w:id="114" w:name="Footref45"/>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"Footnote45"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45</w:t>
      </w:r>
      <w:r w:rsidRPr="00807A92">
        <w:rPr>
          <w:rFonts w:ascii="Times New Roman" w:eastAsia="Times New Roman" w:hAnsi="Times New Roman" w:cs="Times New Roman"/>
          <w:sz w:val="24"/>
          <w:szCs w:val="24"/>
          <w:lang w:eastAsia="it-IT"/>
        </w:rPr>
        <w:fldChar w:fldCharType="end"/>
      </w:r>
      <w:bookmarkEnd w:id="114"/>
      <w:r w:rsidRPr="00807A92">
        <w:rPr>
          <w:rFonts w:ascii="Times New Roman" w:eastAsia="Times New Roman" w:hAnsi="Times New Roman" w:cs="Times New Roman"/>
          <w:sz w:val="24"/>
          <w:szCs w:val="24"/>
          <w:lang w:eastAsia="it-IT"/>
        </w:rPr>
        <w:t xml:space="preserve">) contributions discussing whether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exceptions, and in particular the points made with regard to acte clair, should indeed be read as requirements, thereby laying down a checklist for the national courts of last instance, or whether they should be approached more in the terms of an ‘overall guidance system’ or a ‘tool kit’, (</w:t>
      </w:r>
      <w:bookmarkStart w:id="115" w:name="Footref46"/>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"Footnote46"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46</w:t>
      </w:r>
      <w:r w:rsidRPr="00807A92">
        <w:rPr>
          <w:rFonts w:ascii="Times New Roman" w:eastAsia="Times New Roman" w:hAnsi="Times New Roman" w:cs="Times New Roman"/>
          <w:sz w:val="24"/>
          <w:szCs w:val="24"/>
          <w:lang w:eastAsia="it-IT"/>
        </w:rPr>
        <w:fldChar w:fldCharType="end"/>
      </w:r>
      <w:bookmarkEnd w:id="115"/>
      <w:r w:rsidRPr="00807A92">
        <w:rPr>
          <w:rFonts w:ascii="Times New Roman" w:eastAsia="Times New Roman" w:hAnsi="Times New Roman" w:cs="Times New Roman"/>
          <w:sz w:val="24"/>
          <w:szCs w:val="24"/>
          <w:lang w:eastAsia="it-IT"/>
        </w:rPr>
        <w:t xml:space="preserve">) not to be taken verbatim. </w:t>
      </w:r>
    </w:p>
    <w:p w14:paraId="198E2E5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16" w:name="point70"/>
      <w:r w:rsidRPr="00807A92">
        <w:rPr>
          <w:rFonts w:ascii="Times New Roman" w:eastAsia="Times New Roman" w:hAnsi="Times New Roman" w:cs="Times New Roman"/>
          <w:sz w:val="24"/>
          <w:szCs w:val="24"/>
          <w:lang w:eastAsia="it-IT"/>
        </w:rPr>
        <w:t>70.</w:t>
      </w:r>
      <w:bookmarkEnd w:id="116"/>
      <w:r w:rsidRPr="00807A92">
        <w:rPr>
          <w:rFonts w:ascii="Times New Roman" w:eastAsia="Times New Roman" w:hAnsi="Times New Roman" w:cs="Times New Roman"/>
          <w:sz w:val="24"/>
          <w:szCs w:val="24"/>
          <w:lang w:eastAsia="it-IT"/>
        </w:rPr>
        <w:t xml:space="preserve">      What is significant in this regard is the subsequent case-law of the Court itself on this matter. There are two points arising from that case-law which are particularly noteworthy. First, the Court never expressly revisited or nuanced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even though it was repeatedly invited to do so by a number of Advocates General. Second, when it came to cases involving the actual application of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criteria, one could say that the application practice of the Court has been somewhat varied, particularly in the course of the last decade. </w:t>
      </w:r>
    </w:p>
    <w:p w14:paraId="7E941AF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17" w:name="point71"/>
      <w:r w:rsidRPr="00807A92">
        <w:rPr>
          <w:rFonts w:ascii="Times New Roman" w:eastAsia="Times New Roman" w:hAnsi="Times New Roman" w:cs="Times New Roman"/>
          <w:sz w:val="24"/>
          <w:szCs w:val="24"/>
          <w:lang w:eastAsia="it-IT"/>
        </w:rPr>
        <w:t>71.</w:t>
      </w:r>
      <w:bookmarkEnd w:id="117"/>
      <w:r w:rsidRPr="00807A92">
        <w:rPr>
          <w:rFonts w:ascii="Times New Roman" w:eastAsia="Times New Roman" w:hAnsi="Times New Roman" w:cs="Times New Roman"/>
          <w:sz w:val="24"/>
          <w:szCs w:val="24"/>
          <w:lang w:eastAsia="it-IT"/>
        </w:rPr>
        <w:t xml:space="preserve">      First, in </w:t>
      </w:r>
      <w:r w:rsidRPr="00807A92">
        <w:rPr>
          <w:rFonts w:ascii="Times New Roman" w:eastAsia="Times New Roman" w:hAnsi="Times New Roman" w:cs="Times New Roman"/>
          <w:i/>
          <w:iCs/>
          <w:sz w:val="24"/>
          <w:szCs w:val="24"/>
          <w:lang w:eastAsia="it-IT"/>
        </w:rPr>
        <w:t>Intermodal Transports</w:t>
      </w:r>
      <w:r w:rsidRPr="00807A92">
        <w:rPr>
          <w:rFonts w:ascii="Times New Roman" w:eastAsia="Times New Roman" w:hAnsi="Times New Roman" w:cs="Times New Roman"/>
          <w:sz w:val="24"/>
          <w:szCs w:val="24"/>
          <w:lang w:eastAsia="it-IT"/>
        </w:rPr>
        <w:t>, (</w:t>
      </w:r>
      <w:bookmarkStart w:id="118" w:name="Footref47"/>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"Footnote47"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47</w:t>
      </w:r>
      <w:r w:rsidRPr="00807A92">
        <w:rPr>
          <w:rFonts w:ascii="Times New Roman" w:eastAsia="Times New Roman" w:hAnsi="Times New Roman" w:cs="Times New Roman"/>
          <w:sz w:val="24"/>
          <w:szCs w:val="24"/>
          <w:lang w:eastAsia="it-IT"/>
        </w:rPr>
        <w:fldChar w:fldCharType="end"/>
      </w:r>
      <w:bookmarkEnd w:id="118"/>
      <w:r w:rsidRPr="00807A92">
        <w:rPr>
          <w:rFonts w:ascii="Times New Roman" w:eastAsia="Times New Roman" w:hAnsi="Times New Roman" w:cs="Times New Roman"/>
          <w:sz w:val="24"/>
          <w:szCs w:val="24"/>
          <w:lang w:eastAsia="it-IT"/>
        </w:rPr>
        <w:t>) the referring court sought clarification on whether it had to refer questions on the interpretation of the combined nomenclature (CN) in circumstances where a party to a dispute concerning classification in the CN of a certain product invokes a decision by a customs authority, laid down in a binding tariff information (BTI), issued to a third party in respect of a similar product, and where the referring court thinks that that BTI is at variance with the CN. Put simply, is a court considered to harbour reasonable doubt in circumstances where it has a different legal view than that of an administrative authority of a different Member State?</w:t>
      </w:r>
    </w:p>
    <w:p w14:paraId="12DB566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19" w:name="point72"/>
      <w:r w:rsidRPr="00807A92">
        <w:rPr>
          <w:rFonts w:ascii="Times New Roman" w:eastAsia="Times New Roman" w:hAnsi="Times New Roman" w:cs="Times New Roman"/>
          <w:sz w:val="24"/>
          <w:szCs w:val="24"/>
          <w:lang w:eastAsia="it-IT"/>
        </w:rPr>
        <w:t>72.</w:t>
      </w:r>
      <w:bookmarkEnd w:id="119"/>
      <w:r w:rsidRPr="00807A92">
        <w:rPr>
          <w:rFonts w:ascii="Times New Roman" w:eastAsia="Times New Roman" w:hAnsi="Times New Roman" w:cs="Times New Roman"/>
          <w:sz w:val="24"/>
          <w:szCs w:val="24"/>
          <w:lang w:eastAsia="it-IT"/>
        </w:rPr>
        <w:t xml:space="preserve">      The Court determined that the third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exception (</w:t>
      </w:r>
      <w:r w:rsidRPr="00807A92">
        <w:rPr>
          <w:rFonts w:ascii="Times New Roman" w:eastAsia="Times New Roman" w:hAnsi="Times New Roman" w:cs="Times New Roman"/>
          <w:i/>
          <w:iCs/>
          <w:sz w:val="24"/>
          <w:szCs w:val="24"/>
          <w:lang w:eastAsia="it-IT"/>
        </w:rPr>
        <w:t>acte clair</w:t>
      </w:r>
      <w:r w:rsidRPr="00807A92">
        <w:rPr>
          <w:rFonts w:ascii="Times New Roman" w:eastAsia="Times New Roman" w:hAnsi="Times New Roman" w:cs="Times New Roman"/>
          <w:sz w:val="24"/>
          <w:szCs w:val="24"/>
          <w:lang w:eastAsia="it-IT"/>
        </w:rPr>
        <w:t>) could still be satisfied despite the existence of a divergent interpretation of EU law by an administrative authority in another Member State. According to the Court, the fact that the customs authorities of another Member State issued a decision which appeared to reflect a different interpretation of the CN from that which the referring court considered it must adopt in respect of similar goods in question in that dispute, ‘most certainly must cause that court to take particular care in its assessment of whether there is no reasonable doubt as to the correct application of the CN’. (</w:t>
      </w:r>
      <w:bookmarkStart w:id="120" w:name="Footref48"/>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"Footnote48"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48</w:t>
      </w:r>
      <w:r w:rsidRPr="00807A92">
        <w:rPr>
          <w:rFonts w:ascii="Times New Roman" w:eastAsia="Times New Roman" w:hAnsi="Times New Roman" w:cs="Times New Roman"/>
          <w:sz w:val="24"/>
          <w:szCs w:val="24"/>
          <w:lang w:eastAsia="it-IT"/>
        </w:rPr>
        <w:fldChar w:fldCharType="end"/>
      </w:r>
      <w:bookmarkEnd w:id="120"/>
      <w:r w:rsidRPr="00807A92">
        <w:rPr>
          <w:rFonts w:ascii="Times New Roman" w:eastAsia="Times New Roman" w:hAnsi="Times New Roman" w:cs="Times New Roman"/>
          <w:sz w:val="24"/>
          <w:szCs w:val="24"/>
          <w:lang w:eastAsia="it-IT"/>
        </w:rPr>
        <w:t>) However, the existence of such a BTI could not, in itself, prevent the referring court from concluding that the correct application of a CN tariff heading was so obvious as to leave no scope for any reasonable doubt. (</w:t>
      </w:r>
      <w:bookmarkStart w:id="121" w:name="Footref49"/>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"Footnote49"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49</w:t>
      </w:r>
      <w:r w:rsidRPr="00807A92">
        <w:rPr>
          <w:rFonts w:ascii="Times New Roman" w:eastAsia="Times New Roman" w:hAnsi="Times New Roman" w:cs="Times New Roman"/>
          <w:sz w:val="24"/>
          <w:szCs w:val="24"/>
          <w:lang w:eastAsia="it-IT"/>
        </w:rPr>
        <w:fldChar w:fldCharType="end"/>
      </w:r>
      <w:bookmarkEnd w:id="121"/>
      <w:r w:rsidRPr="00807A92">
        <w:rPr>
          <w:rFonts w:ascii="Times New Roman" w:eastAsia="Times New Roman" w:hAnsi="Times New Roman" w:cs="Times New Roman"/>
          <w:sz w:val="24"/>
          <w:szCs w:val="24"/>
          <w:lang w:eastAsia="it-IT"/>
        </w:rPr>
        <w:t>)</w:t>
      </w:r>
    </w:p>
    <w:p w14:paraId="038DFA1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22" w:name="point73"/>
      <w:r w:rsidRPr="00807A92">
        <w:rPr>
          <w:rFonts w:ascii="Times New Roman" w:eastAsia="Times New Roman" w:hAnsi="Times New Roman" w:cs="Times New Roman"/>
          <w:sz w:val="24"/>
          <w:szCs w:val="24"/>
          <w:lang w:eastAsia="it-IT"/>
        </w:rPr>
        <w:t>73.</w:t>
      </w:r>
      <w:bookmarkEnd w:id="122"/>
      <w:r w:rsidRPr="00807A92">
        <w:rPr>
          <w:rFonts w:ascii="Times New Roman" w:eastAsia="Times New Roman" w:hAnsi="Times New Roman" w:cs="Times New Roman"/>
          <w:sz w:val="24"/>
          <w:szCs w:val="24"/>
          <w:lang w:eastAsia="it-IT"/>
        </w:rPr>
        <w:t xml:space="preserve">      Second, in </w:t>
      </w:r>
      <w:r w:rsidRPr="00807A92">
        <w:rPr>
          <w:rFonts w:ascii="Times New Roman" w:eastAsia="Times New Roman" w:hAnsi="Times New Roman" w:cs="Times New Roman"/>
          <w:i/>
          <w:iCs/>
          <w:sz w:val="24"/>
          <w:szCs w:val="24"/>
          <w:lang w:eastAsia="it-IT"/>
        </w:rPr>
        <w:t>X and van Dijk</w:t>
      </w:r>
      <w:r w:rsidRPr="00807A92">
        <w:rPr>
          <w:rFonts w:ascii="Times New Roman" w:eastAsia="Times New Roman" w:hAnsi="Times New Roman" w:cs="Times New Roman"/>
          <w:sz w:val="24"/>
          <w:szCs w:val="24"/>
          <w:lang w:eastAsia="it-IT"/>
        </w:rPr>
        <w:t>, (</w:t>
      </w:r>
      <w:bookmarkStart w:id="123" w:name="Footref50"/>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"Footnote50"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50</w:t>
      </w:r>
      <w:r w:rsidRPr="00807A92">
        <w:rPr>
          <w:rFonts w:ascii="Times New Roman" w:eastAsia="Times New Roman" w:hAnsi="Times New Roman" w:cs="Times New Roman"/>
          <w:sz w:val="24"/>
          <w:szCs w:val="24"/>
          <w:lang w:eastAsia="it-IT"/>
        </w:rPr>
        <w:fldChar w:fldCharType="end"/>
      </w:r>
      <w:bookmarkEnd w:id="123"/>
      <w:r w:rsidRPr="00807A92">
        <w:rPr>
          <w:rFonts w:ascii="Times New Roman" w:eastAsia="Times New Roman" w:hAnsi="Times New Roman" w:cs="Times New Roman"/>
          <w:sz w:val="24"/>
          <w:szCs w:val="24"/>
          <w:lang w:eastAsia="it-IT"/>
        </w:rPr>
        <w:t xml:space="preserve">) the referring court (Hoge Raad der Nederlanden (Supreme Court of the Netherlands)) asked whether, in spite of the fact that a lower court in the Netherlands had submitted a request for a preliminary ruling on the same issue, the Hoge Raad (Supreme Court) could still lawfully rule on a dispute without referring questions to the Court of Justice for a preliminary ruling and without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awaiting the answers to the questions referred for a preliminary ruling by that lower court.</w:t>
      </w:r>
    </w:p>
    <w:p w14:paraId="78C0344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24" w:name="point74"/>
      <w:r w:rsidRPr="00807A92">
        <w:rPr>
          <w:rFonts w:ascii="Times New Roman" w:eastAsia="Times New Roman" w:hAnsi="Times New Roman" w:cs="Times New Roman"/>
          <w:sz w:val="24"/>
          <w:szCs w:val="24"/>
          <w:lang w:eastAsia="it-IT"/>
        </w:rPr>
        <w:t>74.</w:t>
      </w:r>
      <w:bookmarkEnd w:id="124"/>
      <w:r w:rsidRPr="00807A92">
        <w:rPr>
          <w:rFonts w:ascii="Times New Roman" w:eastAsia="Times New Roman" w:hAnsi="Times New Roman" w:cs="Times New Roman"/>
          <w:sz w:val="24"/>
          <w:szCs w:val="24"/>
          <w:lang w:eastAsia="it-IT"/>
        </w:rPr>
        <w:t>      The Court stated that the existence of interpretive doubt on the part of a lower court within one Member State does not preclude the existence of an acte clair for a last-instance court of that same State. It first emphasised that ‘it is for the national courts alone against whose decisions there is no judicial remedy under national law, to take upon themselves independently the responsibility for determining whether the case before them involves an “acte clair”’. (</w:t>
      </w:r>
      <w:bookmarkStart w:id="125" w:name="Footref51"/>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"Footnote51"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51</w:t>
      </w:r>
      <w:r w:rsidRPr="00807A92">
        <w:rPr>
          <w:rFonts w:ascii="Times New Roman" w:eastAsia="Times New Roman" w:hAnsi="Times New Roman" w:cs="Times New Roman"/>
          <w:sz w:val="24"/>
          <w:szCs w:val="24"/>
          <w:lang w:eastAsia="it-IT"/>
        </w:rPr>
        <w:fldChar w:fldCharType="end"/>
      </w:r>
      <w:bookmarkEnd w:id="125"/>
      <w:r w:rsidRPr="00807A92">
        <w:rPr>
          <w:rFonts w:ascii="Times New Roman" w:eastAsia="Times New Roman" w:hAnsi="Times New Roman" w:cs="Times New Roman"/>
          <w:sz w:val="24"/>
          <w:szCs w:val="24"/>
          <w:lang w:eastAsia="it-IT"/>
        </w:rPr>
        <w:t xml:space="preserve">) It further held that, ‘since the fact that a lower court has made a reference to the Court for a preliminary ruling on the same legal issue as that raised before the national court ruling at final instance does not </w:t>
      </w:r>
      <w:r w:rsidRPr="00807A92">
        <w:rPr>
          <w:rFonts w:ascii="Times New Roman" w:eastAsia="Times New Roman" w:hAnsi="Times New Roman" w:cs="Times New Roman"/>
          <w:i/>
          <w:iCs/>
          <w:sz w:val="24"/>
          <w:szCs w:val="24"/>
          <w:lang w:eastAsia="it-IT"/>
        </w:rPr>
        <w:t>in and of itself</w:t>
      </w:r>
      <w:r w:rsidRPr="00807A92">
        <w:rPr>
          <w:rFonts w:ascii="Times New Roman" w:eastAsia="Times New Roman" w:hAnsi="Times New Roman" w:cs="Times New Roman"/>
          <w:sz w:val="24"/>
          <w:szCs w:val="24"/>
          <w:lang w:eastAsia="it-IT"/>
        </w:rPr>
        <w:t xml:space="preserve"> preclude the criteria laid down in the judgment in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from being met, with the result that the latter court might decide to refrain from making a reference to the Court and resolve the question raised before it on its own, </w:t>
      </w:r>
      <w:r w:rsidRPr="00807A92">
        <w:rPr>
          <w:rFonts w:ascii="Times New Roman" w:eastAsia="Times New Roman" w:hAnsi="Times New Roman" w:cs="Times New Roman"/>
          <w:i/>
          <w:iCs/>
          <w:sz w:val="24"/>
          <w:szCs w:val="24"/>
          <w:lang w:eastAsia="it-IT"/>
        </w:rPr>
        <w:t>nor</w:t>
      </w:r>
      <w:r w:rsidRPr="00807A92">
        <w:rPr>
          <w:rFonts w:ascii="Times New Roman" w:eastAsia="Times New Roman" w:hAnsi="Times New Roman" w:cs="Times New Roman"/>
          <w:sz w:val="24"/>
          <w:szCs w:val="24"/>
          <w:lang w:eastAsia="it-IT"/>
        </w:rPr>
        <w:t xml:space="preserve"> is the supreme national court required to wait until the Court of Justice has given an answer to the question referred for a preliminary ruling by the lower court’. (</w:t>
      </w:r>
      <w:bookmarkStart w:id="126" w:name="Footref52"/>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"Footnote52"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52</w:t>
      </w:r>
      <w:r w:rsidRPr="00807A92">
        <w:rPr>
          <w:rFonts w:ascii="Times New Roman" w:eastAsia="Times New Roman" w:hAnsi="Times New Roman" w:cs="Times New Roman"/>
          <w:sz w:val="24"/>
          <w:szCs w:val="24"/>
          <w:lang w:eastAsia="it-IT"/>
        </w:rPr>
        <w:fldChar w:fldCharType="end"/>
      </w:r>
      <w:bookmarkEnd w:id="126"/>
      <w:r w:rsidRPr="00807A92">
        <w:rPr>
          <w:rFonts w:ascii="Times New Roman" w:eastAsia="Times New Roman" w:hAnsi="Times New Roman" w:cs="Times New Roman"/>
          <w:sz w:val="24"/>
          <w:szCs w:val="24"/>
          <w:lang w:eastAsia="it-IT"/>
        </w:rPr>
        <w:t>)</w:t>
      </w:r>
    </w:p>
    <w:p w14:paraId="00A32FB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27" w:name="point75"/>
      <w:r w:rsidRPr="00807A92">
        <w:rPr>
          <w:rFonts w:ascii="Times New Roman" w:eastAsia="Times New Roman" w:hAnsi="Times New Roman" w:cs="Times New Roman"/>
          <w:sz w:val="24"/>
          <w:szCs w:val="24"/>
          <w:lang w:eastAsia="it-IT"/>
        </w:rPr>
        <w:lastRenderedPageBreak/>
        <w:t>75.</w:t>
      </w:r>
      <w:bookmarkEnd w:id="127"/>
      <w:r w:rsidRPr="00807A92">
        <w:rPr>
          <w:rFonts w:ascii="Times New Roman" w:eastAsia="Times New Roman" w:hAnsi="Times New Roman" w:cs="Times New Roman"/>
          <w:sz w:val="24"/>
          <w:szCs w:val="24"/>
          <w:lang w:eastAsia="it-IT"/>
        </w:rPr>
        <w:t xml:space="preserve">      Third, in </w:t>
      </w:r>
      <w:r w:rsidRPr="00807A92">
        <w:rPr>
          <w:rFonts w:ascii="Times New Roman" w:eastAsia="Times New Roman" w:hAnsi="Times New Roman" w:cs="Times New Roman"/>
          <w:i/>
          <w:iCs/>
          <w:sz w:val="24"/>
          <w:szCs w:val="24"/>
          <w:lang w:eastAsia="it-IT"/>
        </w:rPr>
        <w:t>Ferreira Da Silva e Brito</w:t>
      </w:r>
      <w:r w:rsidRPr="00807A92">
        <w:rPr>
          <w:rFonts w:ascii="Times New Roman" w:eastAsia="Times New Roman" w:hAnsi="Times New Roman" w:cs="Times New Roman"/>
          <w:sz w:val="24"/>
          <w:szCs w:val="24"/>
          <w:lang w:eastAsia="it-IT"/>
        </w:rPr>
        <w:t>, (</w:t>
      </w:r>
      <w:bookmarkStart w:id="128" w:name="Footref53"/>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"Footnote53"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53</w:t>
      </w:r>
      <w:r w:rsidRPr="00807A92">
        <w:rPr>
          <w:rFonts w:ascii="Times New Roman" w:eastAsia="Times New Roman" w:hAnsi="Times New Roman" w:cs="Times New Roman"/>
          <w:sz w:val="24"/>
          <w:szCs w:val="24"/>
          <w:lang w:eastAsia="it-IT"/>
        </w:rPr>
        <w:fldChar w:fldCharType="end"/>
      </w:r>
      <w:bookmarkEnd w:id="128"/>
      <w:r w:rsidRPr="00807A92">
        <w:rPr>
          <w:rFonts w:ascii="Times New Roman" w:eastAsia="Times New Roman" w:hAnsi="Times New Roman" w:cs="Times New Roman"/>
          <w:sz w:val="24"/>
          <w:szCs w:val="24"/>
          <w:lang w:eastAsia="it-IT"/>
        </w:rPr>
        <w:t>)</w:t>
      </w:r>
      <w:r w:rsidRPr="00807A92">
        <w:rPr>
          <w:rFonts w:ascii="Times New Roman" w:eastAsia="Times New Roman" w:hAnsi="Times New Roman" w:cs="Times New Roman"/>
          <w:b/>
          <w:bCs/>
          <w:sz w:val="24"/>
          <w:szCs w:val="24"/>
          <w:lang w:eastAsia="it-IT"/>
        </w:rPr>
        <w:t> </w:t>
      </w:r>
      <w:r w:rsidRPr="00807A92">
        <w:rPr>
          <w:rFonts w:ascii="Times New Roman" w:eastAsia="Times New Roman" w:hAnsi="Times New Roman" w:cs="Times New Roman"/>
          <w:sz w:val="24"/>
          <w:szCs w:val="24"/>
          <w:lang w:eastAsia="it-IT"/>
        </w:rPr>
        <w:t>the applicants challenged, in an action for a declaration of non-contractual civil liability against the Portuguese State, the interpretation of ‘transfer of a business’ within the meaning of Directive 2001/23/EC (</w:t>
      </w:r>
      <w:bookmarkStart w:id="129" w:name="Footref54"/>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"Footnote54"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54</w:t>
      </w:r>
      <w:r w:rsidRPr="00807A92">
        <w:rPr>
          <w:rFonts w:ascii="Times New Roman" w:eastAsia="Times New Roman" w:hAnsi="Times New Roman" w:cs="Times New Roman"/>
          <w:sz w:val="24"/>
          <w:szCs w:val="24"/>
          <w:lang w:eastAsia="it-IT"/>
        </w:rPr>
        <w:fldChar w:fldCharType="end"/>
      </w:r>
      <w:bookmarkEnd w:id="129"/>
      <w:r w:rsidRPr="00807A92">
        <w:rPr>
          <w:rFonts w:ascii="Times New Roman" w:eastAsia="Times New Roman" w:hAnsi="Times New Roman" w:cs="Times New Roman"/>
          <w:sz w:val="24"/>
          <w:szCs w:val="24"/>
          <w:lang w:eastAsia="it-IT"/>
        </w:rPr>
        <w:t>) embraced by the Supremo Tribunal de Justiça (Supreme Court of Justice, Portugal). According to the applicants, the Supremo Tribunal de Justiça (Supreme Court of Justice) should have complied with its obligation to refer and should have submitted a question on that issue to the Court. The referring lower court asked the Court whether Article 267 TFEU was to be interpreted as meaning that, in the light of the fact that the lower national courts adjudicating on the case adopted contradictory decisions, the Supremo Tribunal de Justiça (Supreme Court of Justice) was under an obligation to refer to the Court for a preliminary ruling a question concerning the correct interpretation of the concept of a ‘transfer of a business’ within the meaning of Directive 2001/23.</w:t>
      </w:r>
    </w:p>
    <w:p w14:paraId="0F6931F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30" w:name="point76"/>
      <w:r w:rsidRPr="00807A92">
        <w:rPr>
          <w:rFonts w:ascii="Times New Roman" w:eastAsia="Times New Roman" w:hAnsi="Times New Roman" w:cs="Times New Roman"/>
          <w:sz w:val="24"/>
          <w:szCs w:val="24"/>
          <w:lang w:eastAsia="it-IT"/>
        </w:rPr>
        <w:t>76.</w:t>
      </w:r>
      <w:bookmarkEnd w:id="130"/>
      <w:r w:rsidRPr="00807A92">
        <w:rPr>
          <w:rFonts w:ascii="Times New Roman" w:eastAsia="Times New Roman" w:hAnsi="Times New Roman" w:cs="Times New Roman"/>
          <w:sz w:val="24"/>
          <w:szCs w:val="24"/>
          <w:lang w:eastAsia="it-IT"/>
        </w:rPr>
        <w:t>      The Court stated that ‘</w:t>
      </w:r>
      <w:r w:rsidRPr="00807A92">
        <w:rPr>
          <w:rFonts w:ascii="Times New Roman" w:eastAsia="Times New Roman" w:hAnsi="Times New Roman" w:cs="Times New Roman"/>
          <w:i/>
          <w:iCs/>
          <w:sz w:val="24"/>
          <w:szCs w:val="24"/>
          <w:lang w:eastAsia="it-IT"/>
        </w:rPr>
        <w:t>in itself</w:t>
      </w:r>
      <w:r w:rsidRPr="00807A92">
        <w:rPr>
          <w:rFonts w:ascii="Times New Roman" w:eastAsia="Times New Roman" w:hAnsi="Times New Roman" w:cs="Times New Roman"/>
          <w:sz w:val="24"/>
          <w:szCs w:val="24"/>
          <w:lang w:eastAsia="it-IT"/>
        </w:rPr>
        <w:t xml:space="preserve">, the fact that other national courts or tribunals have given contradictory decisions is </w:t>
      </w:r>
      <w:r w:rsidRPr="00807A92">
        <w:rPr>
          <w:rFonts w:ascii="Times New Roman" w:eastAsia="Times New Roman" w:hAnsi="Times New Roman" w:cs="Times New Roman"/>
          <w:i/>
          <w:iCs/>
          <w:sz w:val="24"/>
          <w:szCs w:val="24"/>
          <w:lang w:eastAsia="it-IT"/>
        </w:rPr>
        <w:t>not</w:t>
      </w:r>
      <w:r w:rsidRPr="00807A92">
        <w:rPr>
          <w:rFonts w:ascii="Times New Roman" w:eastAsia="Times New Roman" w:hAnsi="Times New Roman" w:cs="Times New Roman"/>
          <w:sz w:val="24"/>
          <w:szCs w:val="24"/>
          <w:lang w:eastAsia="it-IT"/>
        </w:rPr>
        <w:t xml:space="preserve"> a conclusive factor capable of triggering the obligation set out in the third paragraph of Article 267 TFEU. A court or tribunal adjudicating at last instance may take the view that, although the lower courts have interpreted a provision of EU law in a particular way, the interpretation that it proposes to give of that provision, which is different from the interpretation espoused by the lower courts, is so obvious that there is no reasonable doubt’. (</w:t>
      </w:r>
      <w:bookmarkStart w:id="131" w:name="Footref55"/>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"Footnote55"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55</w:t>
      </w:r>
      <w:r w:rsidRPr="00807A92">
        <w:rPr>
          <w:rFonts w:ascii="Times New Roman" w:eastAsia="Times New Roman" w:hAnsi="Times New Roman" w:cs="Times New Roman"/>
          <w:sz w:val="24"/>
          <w:szCs w:val="24"/>
          <w:lang w:eastAsia="it-IT"/>
        </w:rPr>
        <w:fldChar w:fldCharType="end"/>
      </w:r>
      <w:bookmarkEnd w:id="131"/>
      <w:r w:rsidRPr="00807A92">
        <w:rPr>
          <w:rFonts w:ascii="Times New Roman" w:eastAsia="Times New Roman" w:hAnsi="Times New Roman" w:cs="Times New Roman"/>
          <w:sz w:val="24"/>
          <w:szCs w:val="24"/>
          <w:lang w:eastAsia="it-IT"/>
        </w:rPr>
        <w:t xml:space="preserve">) However, unlike in </w:t>
      </w:r>
      <w:r w:rsidRPr="00807A92">
        <w:rPr>
          <w:rFonts w:ascii="Times New Roman" w:eastAsia="Times New Roman" w:hAnsi="Times New Roman" w:cs="Times New Roman"/>
          <w:i/>
          <w:iCs/>
          <w:sz w:val="24"/>
          <w:szCs w:val="24"/>
          <w:lang w:eastAsia="it-IT"/>
        </w:rPr>
        <w:t>X and van Dijk</w:t>
      </w:r>
      <w:r w:rsidRPr="00807A92">
        <w:rPr>
          <w:rFonts w:ascii="Times New Roman" w:eastAsia="Times New Roman" w:hAnsi="Times New Roman" w:cs="Times New Roman"/>
          <w:sz w:val="24"/>
          <w:szCs w:val="24"/>
          <w:lang w:eastAsia="it-IT"/>
        </w:rPr>
        <w:t>, on the very facts of the case, the Court considered that, as a result of conflicting lines of case-law at national level together with the fact that that concept frequently gives rise to difficulties of interpretation in the various Member States, a national court or tribunal against whose decisions there is no judicial remedy under national law must make a reference to the Court in order to avert the risk of an incorrect interpretation of EU law. (</w:t>
      </w:r>
      <w:bookmarkStart w:id="132" w:name="Footref56"/>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"Footnote56"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56</w:t>
      </w:r>
      <w:r w:rsidRPr="00807A92">
        <w:rPr>
          <w:rFonts w:ascii="Times New Roman" w:eastAsia="Times New Roman" w:hAnsi="Times New Roman" w:cs="Times New Roman"/>
          <w:sz w:val="24"/>
          <w:szCs w:val="24"/>
          <w:lang w:eastAsia="it-IT"/>
        </w:rPr>
        <w:fldChar w:fldCharType="end"/>
      </w:r>
      <w:bookmarkEnd w:id="132"/>
      <w:r w:rsidRPr="00807A92">
        <w:rPr>
          <w:rFonts w:ascii="Times New Roman" w:eastAsia="Times New Roman" w:hAnsi="Times New Roman" w:cs="Times New Roman"/>
          <w:sz w:val="24"/>
          <w:szCs w:val="24"/>
          <w:lang w:eastAsia="it-IT"/>
        </w:rPr>
        <w:t>)</w:t>
      </w:r>
    </w:p>
    <w:p w14:paraId="51AE2E4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33" w:name="point77"/>
      <w:r w:rsidRPr="00807A92">
        <w:rPr>
          <w:rFonts w:ascii="Times New Roman" w:eastAsia="Times New Roman" w:hAnsi="Times New Roman" w:cs="Times New Roman"/>
          <w:sz w:val="24"/>
          <w:szCs w:val="24"/>
          <w:lang w:eastAsia="it-IT"/>
        </w:rPr>
        <w:t>77.</w:t>
      </w:r>
      <w:bookmarkEnd w:id="133"/>
      <w:r w:rsidRPr="00807A92">
        <w:rPr>
          <w:rFonts w:ascii="Times New Roman" w:eastAsia="Times New Roman" w:hAnsi="Times New Roman" w:cs="Times New Roman"/>
          <w:sz w:val="24"/>
          <w:szCs w:val="24"/>
          <w:lang w:eastAsia="it-IT"/>
        </w:rPr>
        <w:t xml:space="preserve">      Fourth, in </w:t>
      </w:r>
      <w:r w:rsidRPr="00807A92">
        <w:rPr>
          <w:rFonts w:ascii="Times New Roman" w:eastAsia="Times New Roman" w:hAnsi="Times New Roman" w:cs="Times New Roman"/>
          <w:i/>
          <w:iCs/>
          <w:sz w:val="24"/>
          <w:szCs w:val="24"/>
          <w:lang w:eastAsia="it-IT"/>
        </w:rPr>
        <w:t>Association France Nature Environnement</w:t>
      </w:r>
      <w:r w:rsidRPr="00807A92">
        <w:rPr>
          <w:rFonts w:ascii="Times New Roman" w:eastAsia="Times New Roman" w:hAnsi="Times New Roman" w:cs="Times New Roman"/>
          <w:sz w:val="24"/>
          <w:szCs w:val="24"/>
          <w:lang w:eastAsia="it-IT"/>
        </w:rPr>
        <w:t>, (</w:t>
      </w:r>
      <w:bookmarkStart w:id="134" w:name="Footref57"/>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"Footnote57"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57</w:t>
      </w:r>
      <w:r w:rsidRPr="00807A92">
        <w:rPr>
          <w:rFonts w:ascii="Times New Roman" w:eastAsia="Times New Roman" w:hAnsi="Times New Roman" w:cs="Times New Roman"/>
          <w:sz w:val="24"/>
          <w:szCs w:val="24"/>
          <w:lang w:eastAsia="it-IT"/>
        </w:rPr>
        <w:fldChar w:fldCharType="end"/>
      </w:r>
      <w:bookmarkEnd w:id="134"/>
      <w:r w:rsidRPr="00807A92">
        <w:rPr>
          <w:rFonts w:ascii="Times New Roman" w:eastAsia="Times New Roman" w:hAnsi="Times New Roman" w:cs="Times New Roman"/>
          <w:sz w:val="24"/>
          <w:szCs w:val="24"/>
          <w:lang w:eastAsia="it-IT"/>
        </w:rPr>
        <w:t xml:space="preserve">) the Court, while not expressly addressing the issue of reasonable doubt, excluded the application of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exceptions (in </w:t>
      </w:r>
      <w:r w:rsidRPr="00807A92">
        <w:rPr>
          <w:rFonts w:ascii="Times New Roman" w:eastAsia="Times New Roman" w:hAnsi="Times New Roman" w:cs="Times New Roman"/>
          <w:i/>
          <w:iCs/>
          <w:sz w:val="24"/>
          <w:szCs w:val="24"/>
          <w:lang w:eastAsia="it-IT"/>
        </w:rPr>
        <w:t>casu</w:t>
      </w:r>
      <w:r w:rsidRPr="00807A92">
        <w:rPr>
          <w:rFonts w:ascii="Times New Roman" w:eastAsia="Times New Roman" w:hAnsi="Times New Roman" w:cs="Times New Roman"/>
          <w:sz w:val="24"/>
          <w:szCs w:val="24"/>
          <w:lang w:eastAsia="it-IT"/>
        </w:rPr>
        <w:t xml:space="preserve"> both </w:t>
      </w:r>
      <w:r w:rsidRPr="00807A92">
        <w:rPr>
          <w:rFonts w:ascii="Times New Roman" w:eastAsia="Times New Roman" w:hAnsi="Times New Roman" w:cs="Times New Roman"/>
          <w:i/>
          <w:iCs/>
          <w:sz w:val="24"/>
          <w:szCs w:val="24"/>
          <w:lang w:eastAsia="it-IT"/>
        </w:rPr>
        <w:t>acte clair</w:t>
      </w:r>
      <w:r w:rsidRPr="00807A92">
        <w:rPr>
          <w:rFonts w:ascii="Times New Roman" w:eastAsia="Times New Roman" w:hAnsi="Times New Roman" w:cs="Times New Roman"/>
          <w:sz w:val="24"/>
          <w:szCs w:val="24"/>
          <w:lang w:eastAsia="it-IT"/>
        </w:rPr>
        <w:t xml:space="preserve"> and </w:t>
      </w:r>
      <w:r w:rsidRPr="00807A92">
        <w:rPr>
          <w:rFonts w:ascii="Times New Roman" w:eastAsia="Times New Roman" w:hAnsi="Times New Roman" w:cs="Times New Roman"/>
          <w:i/>
          <w:iCs/>
          <w:sz w:val="24"/>
          <w:szCs w:val="24"/>
          <w:lang w:eastAsia="it-IT"/>
        </w:rPr>
        <w:t>acte éclairé</w:t>
      </w:r>
      <w:r w:rsidRPr="00807A92">
        <w:rPr>
          <w:rFonts w:ascii="Times New Roman" w:eastAsia="Times New Roman" w:hAnsi="Times New Roman" w:cs="Times New Roman"/>
          <w:sz w:val="24"/>
          <w:szCs w:val="24"/>
          <w:lang w:eastAsia="it-IT"/>
        </w:rPr>
        <w:t xml:space="preserve">). In the specific context where a court of last instance envisages making use of the exceptional power which enables it to decide to maintain certain effects of a national measure that are incompatible with EU law, the Court retained a strict approach to the obligation to refer. </w:t>
      </w:r>
    </w:p>
    <w:p w14:paraId="2231B6C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35" w:name="point78"/>
      <w:r w:rsidRPr="00807A92">
        <w:rPr>
          <w:rFonts w:ascii="Times New Roman" w:eastAsia="Times New Roman" w:hAnsi="Times New Roman" w:cs="Times New Roman"/>
          <w:sz w:val="24"/>
          <w:szCs w:val="24"/>
          <w:lang w:eastAsia="it-IT"/>
        </w:rPr>
        <w:t>78.</w:t>
      </w:r>
      <w:bookmarkEnd w:id="135"/>
      <w:r w:rsidRPr="00807A92">
        <w:rPr>
          <w:rFonts w:ascii="Times New Roman" w:eastAsia="Times New Roman" w:hAnsi="Times New Roman" w:cs="Times New Roman"/>
          <w:sz w:val="24"/>
          <w:szCs w:val="24"/>
          <w:lang w:eastAsia="it-IT"/>
        </w:rPr>
        <w:t>      The Court first restated the criteria for the existence of an ‘acte clair’, (</w:t>
      </w:r>
      <w:bookmarkStart w:id="136" w:name="Footref58"/>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"Footnote58"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58</w:t>
      </w:r>
      <w:r w:rsidRPr="00807A92">
        <w:rPr>
          <w:rFonts w:ascii="Times New Roman" w:eastAsia="Times New Roman" w:hAnsi="Times New Roman" w:cs="Times New Roman"/>
          <w:sz w:val="24"/>
          <w:szCs w:val="24"/>
          <w:lang w:eastAsia="it-IT"/>
        </w:rPr>
        <w:fldChar w:fldCharType="end"/>
      </w:r>
      <w:bookmarkEnd w:id="136"/>
      <w:r w:rsidRPr="00807A92">
        <w:rPr>
          <w:rFonts w:ascii="Times New Roman" w:eastAsia="Times New Roman" w:hAnsi="Times New Roman" w:cs="Times New Roman"/>
          <w:sz w:val="24"/>
          <w:szCs w:val="24"/>
          <w:lang w:eastAsia="it-IT"/>
        </w:rPr>
        <w:t>) in order to note that ‘in respect of a case such as that in the main proceedings, therefore, in which the question of its being possible for a national court to limit in time certain of the effects of a declaration of illegality of a provision of national law adopted in disregard of the obligations provided for by [a directive], has not been the subject of another decision of the Court since the [first] judgment (</w:t>
      </w:r>
      <w:bookmarkStart w:id="137" w:name="Footref59"/>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"Footnote59"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59</w:t>
      </w:r>
      <w:r w:rsidRPr="00807A92">
        <w:rPr>
          <w:rFonts w:ascii="Times New Roman" w:eastAsia="Times New Roman" w:hAnsi="Times New Roman" w:cs="Times New Roman"/>
          <w:sz w:val="24"/>
          <w:szCs w:val="24"/>
          <w:lang w:eastAsia="it-IT"/>
        </w:rPr>
        <w:fldChar w:fldCharType="end"/>
      </w:r>
      <w:bookmarkEnd w:id="137"/>
      <w:r w:rsidRPr="00807A92">
        <w:rPr>
          <w:rFonts w:ascii="Times New Roman" w:eastAsia="Times New Roman" w:hAnsi="Times New Roman" w:cs="Times New Roman"/>
          <w:sz w:val="24"/>
          <w:szCs w:val="24"/>
          <w:lang w:eastAsia="it-IT"/>
        </w:rPr>
        <w:t xml:space="preserve">) and, moreover, in which such a possibility is </w:t>
      </w:r>
      <w:r w:rsidRPr="00807A92">
        <w:rPr>
          <w:rFonts w:ascii="Times New Roman" w:eastAsia="Times New Roman" w:hAnsi="Times New Roman" w:cs="Times New Roman"/>
          <w:i/>
          <w:iCs/>
          <w:sz w:val="24"/>
          <w:szCs w:val="24"/>
          <w:lang w:eastAsia="it-IT"/>
        </w:rPr>
        <w:t>exceptional in nature</w:t>
      </w:r>
      <w:r w:rsidRPr="00807A92">
        <w:rPr>
          <w:rFonts w:ascii="Times New Roman" w:eastAsia="Times New Roman" w:hAnsi="Times New Roman" w:cs="Times New Roman"/>
          <w:sz w:val="24"/>
          <w:szCs w:val="24"/>
          <w:lang w:eastAsia="it-IT"/>
        </w:rPr>
        <w:t>, … the national court against whose decisions there is no longer any judicial remedy under law must make a reference to the Court for a preliminary ruling when it has the</w:t>
      </w:r>
      <w:r w:rsidRPr="00807A92">
        <w:rPr>
          <w:rFonts w:ascii="Times New Roman" w:eastAsia="Times New Roman" w:hAnsi="Times New Roman" w:cs="Times New Roman"/>
          <w:i/>
          <w:iCs/>
          <w:sz w:val="24"/>
          <w:szCs w:val="24"/>
          <w:lang w:eastAsia="it-IT"/>
        </w:rPr>
        <w:t xml:space="preserve"> slightest doubt </w:t>
      </w:r>
      <w:r w:rsidRPr="00807A92">
        <w:rPr>
          <w:rFonts w:ascii="Times New Roman" w:eastAsia="Times New Roman" w:hAnsi="Times New Roman" w:cs="Times New Roman"/>
          <w:sz w:val="24"/>
          <w:szCs w:val="24"/>
          <w:lang w:eastAsia="it-IT"/>
        </w:rPr>
        <w:t>as regards the interpretation or correct application of EU law’. (</w:t>
      </w:r>
      <w:bookmarkStart w:id="138" w:name="Footref60"/>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"Footnote60"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60</w:t>
      </w:r>
      <w:r w:rsidRPr="00807A92">
        <w:rPr>
          <w:rFonts w:ascii="Times New Roman" w:eastAsia="Times New Roman" w:hAnsi="Times New Roman" w:cs="Times New Roman"/>
          <w:sz w:val="24"/>
          <w:szCs w:val="24"/>
          <w:lang w:eastAsia="it-IT"/>
        </w:rPr>
        <w:fldChar w:fldCharType="end"/>
      </w:r>
      <w:bookmarkEnd w:id="138"/>
      <w:r w:rsidRPr="00807A92">
        <w:rPr>
          <w:rFonts w:ascii="Times New Roman" w:eastAsia="Times New Roman" w:hAnsi="Times New Roman" w:cs="Times New Roman"/>
          <w:sz w:val="24"/>
          <w:szCs w:val="24"/>
          <w:lang w:eastAsia="it-IT"/>
        </w:rPr>
        <w:t>) ‘In particular, given that the exercise of that exceptional power could adversely affect observance of the principle of the primacy of EU law, that national court could be relieved of the obligation to make a reference to the Court for a preliminary ruling only if it is convinced that the exercise of that exceptional power does not give rise to any reasonable doubt. In addition, it must be established in detail that there is no such doubt.’ (</w:t>
      </w:r>
      <w:bookmarkStart w:id="139" w:name="Footref61"/>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"Footnote61"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61</w:t>
      </w:r>
      <w:r w:rsidRPr="00807A92">
        <w:rPr>
          <w:rFonts w:ascii="Times New Roman" w:eastAsia="Times New Roman" w:hAnsi="Times New Roman" w:cs="Times New Roman"/>
          <w:sz w:val="24"/>
          <w:szCs w:val="24"/>
          <w:lang w:eastAsia="it-IT"/>
        </w:rPr>
        <w:fldChar w:fldCharType="end"/>
      </w:r>
      <w:bookmarkEnd w:id="139"/>
      <w:r w:rsidRPr="00807A92">
        <w:rPr>
          <w:rFonts w:ascii="Times New Roman" w:eastAsia="Times New Roman" w:hAnsi="Times New Roman" w:cs="Times New Roman"/>
          <w:sz w:val="24"/>
          <w:szCs w:val="24"/>
          <w:lang w:eastAsia="it-IT"/>
        </w:rPr>
        <w:t>)</w:t>
      </w:r>
    </w:p>
    <w:p w14:paraId="683D471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40" w:name="point79"/>
      <w:r w:rsidRPr="00807A92">
        <w:rPr>
          <w:rFonts w:ascii="Times New Roman" w:eastAsia="Times New Roman" w:hAnsi="Times New Roman" w:cs="Times New Roman"/>
          <w:sz w:val="24"/>
          <w:szCs w:val="24"/>
          <w:lang w:eastAsia="it-IT"/>
        </w:rPr>
        <w:t>79.</w:t>
      </w:r>
      <w:bookmarkEnd w:id="140"/>
      <w:r w:rsidRPr="00807A92">
        <w:rPr>
          <w:rFonts w:ascii="Times New Roman" w:eastAsia="Times New Roman" w:hAnsi="Times New Roman" w:cs="Times New Roman"/>
          <w:sz w:val="24"/>
          <w:szCs w:val="24"/>
          <w:lang w:eastAsia="it-IT"/>
        </w:rPr>
        <w:t>      If that case-law is viewed together, there are at least three elements worth noting.</w:t>
      </w:r>
    </w:p>
    <w:p w14:paraId="11DCCE3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41" w:name="point80"/>
      <w:r w:rsidRPr="00807A92">
        <w:rPr>
          <w:rFonts w:ascii="Times New Roman" w:eastAsia="Times New Roman" w:hAnsi="Times New Roman" w:cs="Times New Roman"/>
          <w:sz w:val="24"/>
          <w:szCs w:val="24"/>
          <w:lang w:eastAsia="it-IT"/>
        </w:rPr>
        <w:t>80.</w:t>
      </w:r>
      <w:bookmarkEnd w:id="141"/>
      <w:r w:rsidRPr="00807A92">
        <w:rPr>
          <w:rFonts w:ascii="Times New Roman" w:eastAsia="Times New Roman" w:hAnsi="Times New Roman" w:cs="Times New Roman"/>
          <w:sz w:val="24"/>
          <w:szCs w:val="24"/>
          <w:lang w:eastAsia="it-IT"/>
        </w:rPr>
        <w:t xml:space="preserve">      First, although all the cases refer to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and some even invoke the exceptions stated therein, none of them actually applied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criteria. It could be suggested that these are elements of facts to be applied by national courts. However, that is not entirely correct because, in these cases, it was in fact the Court itself that carried out the evaluation of whether or not in such </w:t>
      </w:r>
      <w:r w:rsidRPr="00807A92">
        <w:rPr>
          <w:rFonts w:ascii="Times New Roman" w:eastAsia="Times New Roman" w:hAnsi="Times New Roman" w:cs="Times New Roman"/>
          <w:sz w:val="24"/>
          <w:szCs w:val="24"/>
          <w:lang w:eastAsia="it-IT"/>
        </w:rPr>
        <w:lastRenderedPageBreak/>
        <w:t xml:space="preserve">circumstances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exceptions, most frequently that of </w:t>
      </w:r>
      <w:r w:rsidRPr="00807A92">
        <w:rPr>
          <w:rFonts w:ascii="Times New Roman" w:eastAsia="Times New Roman" w:hAnsi="Times New Roman" w:cs="Times New Roman"/>
          <w:i/>
          <w:iCs/>
          <w:sz w:val="24"/>
          <w:szCs w:val="24"/>
          <w:lang w:eastAsia="it-IT"/>
        </w:rPr>
        <w:t>acte clair</w:t>
      </w:r>
      <w:r w:rsidRPr="00807A92">
        <w:rPr>
          <w:rFonts w:ascii="Times New Roman" w:eastAsia="Times New Roman" w:hAnsi="Times New Roman" w:cs="Times New Roman"/>
          <w:sz w:val="24"/>
          <w:szCs w:val="24"/>
          <w:lang w:eastAsia="it-IT"/>
        </w:rPr>
        <w:t>, could have been validly invoked by the referring court. Nevertheless, even if clearly carrying out that type of evaluation, the Court seems not to be applying its own test.</w:t>
      </w:r>
    </w:p>
    <w:p w14:paraId="5EDFE8C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42" w:name="point81"/>
      <w:r w:rsidRPr="00807A92">
        <w:rPr>
          <w:rFonts w:ascii="Times New Roman" w:eastAsia="Times New Roman" w:hAnsi="Times New Roman" w:cs="Times New Roman"/>
          <w:sz w:val="24"/>
          <w:szCs w:val="24"/>
          <w:lang w:eastAsia="it-IT"/>
        </w:rPr>
        <w:t>81.</w:t>
      </w:r>
      <w:bookmarkEnd w:id="142"/>
      <w:r w:rsidRPr="00807A92">
        <w:rPr>
          <w:rFonts w:ascii="Times New Roman" w:eastAsia="Times New Roman" w:hAnsi="Times New Roman" w:cs="Times New Roman"/>
          <w:sz w:val="24"/>
          <w:szCs w:val="24"/>
          <w:lang w:eastAsia="it-IT"/>
        </w:rPr>
        <w:t xml:space="preserve">      Second, the case-law referred to above demonstrates very well the difficulty that ensues in the application practice as a result of the conceptual lack of clarity in the ‘subjective-objective’ nature as to the existence of ‘any reasonable doubt’. Is it purely subjective doubt, that is to say doubt arising in the mind of the national court? Or is that doubt only subjective as long as it is not rebutted by strong, objective circumstantial evidence? Or should the judge have in fact subjectively understood that there were objective doubts? The first two cases, </w:t>
      </w:r>
      <w:r w:rsidRPr="00807A92">
        <w:rPr>
          <w:rFonts w:ascii="Times New Roman" w:eastAsia="Times New Roman" w:hAnsi="Times New Roman" w:cs="Times New Roman"/>
          <w:i/>
          <w:iCs/>
          <w:sz w:val="24"/>
          <w:szCs w:val="24"/>
          <w:lang w:eastAsia="it-IT"/>
        </w:rPr>
        <w:t>Intermodal Transports</w:t>
      </w:r>
      <w:r w:rsidRPr="00807A92">
        <w:rPr>
          <w:rFonts w:ascii="Times New Roman" w:eastAsia="Times New Roman" w:hAnsi="Times New Roman" w:cs="Times New Roman"/>
          <w:sz w:val="24"/>
          <w:szCs w:val="24"/>
          <w:lang w:eastAsia="it-IT"/>
        </w:rPr>
        <w:t xml:space="preserve"> and </w:t>
      </w:r>
      <w:r w:rsidRPr="00807A92">
        <w:rPr>
          <w:rFonts w:ascii="Times New Roman" w:eastAsia="Times New Roman" w:hAnsi="Times New Roman" w:cs="Times New Roman"/>
          <w:i/>
          <w:iCs/>
          <w:sz w:val="24"/>
          <w:szCs w:val="24"/>
          <w:lang w:eastAsia="it-IT"/>
        </w:rPr>
        <w:t>X and van Dijk</w:t>
      </w:r>
      <w:r w:rsidRPr="00807A92">
        <w:rPr>
          <w:rFonts w:ascii="Times New Roman" w:eastAsia="Times New Roman" w:hAnsi="Times New Roman" w:cs="Times New Roman"/>
          <w:sz w:val="24"/>
          <w:szCs w:val="24"/>
          <w:lang w:eastAsia="it-IT"/>
        </w:rPr>
        <w:t xml:space="preserve">, fall on the subjective and hence deference side (it is ultimately for the national judge who knows best). By contrast, the other two cases, </w:t>
      </w:r>
      <w:r w:rsidRPr="00807A92">
        <w:rPr>
          <w:rFonts w:ascii="Times New Roman" w:eastAsia="Times New Roman" w:hAnsi="Times New Roman" w:cs="Times New Roman"/>
          <w:i/>
          <w:iCs/>
          <w:sz w:val="24"/>
          <w:szCs w:val="24"/>
          <w:lang w:eastAsia="it-IT"/>
        </w:rPr>
        <w:t>Ferreira Da Silva e Brito</w:t>
      </w:r>
      <w:r w:rsidRPr="00807A92">
        <w:rPr>
          <w:rFonts w:ascii="Times New Roman" w:eastAsia="Times New Roman" w:hAnsi="Times New Roman" w:cs="Times New Roman"/>
          <w:sz w:val="24"/>
          <w:szCs w:val="24"/>
          <w:lang w:eastAsia="it-IT"/>
        </w:rPr>
        <w:t xml:space="preserve"> and </w:t>
      </w:r>
      <w:r w:rsidRPr="00807A92">
        <w:rPr>
          <w:rFonts w:ascii="Times New Roman" w:eastAsia="Times New Roman" w:hAnsi="Times New Roman" w:cs="Times New Roman"/>
          <w:i/>
          <w:iCs/>
          <w:sz w:val="24"/>
          <w:szCs w:val="24"/>
          <w:lang w:eastAsia="it-IT"/>
        </w:rPr>
        <w:t>Association France Nature Environnement</w:t>
      </w:r>
      <w:r w:rsidRPr="00807A92">
        <w:rPr>
          <w:rFonts w:ascii="Times New Roman" w:eastAsia="Times New Roman" w:hAnsi="Times New Roman" w:cs="Times New Roman"/>
          <w:sz w:val="24"/>
          <w:szCs w:val="24"/>
          <w:lang w:eastAsia="it-IT"/>
        </w:rPr>
        <w:t xml:space="preserve">,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come down heavily on the objective side (in view of the objective circumstances, the judge should have known better).</w:t>
      </w:r>
    </w:p>
    <w:p w14:paraId="4EF2CBA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43" w:name="point82"/>
      <w:r w:rsidRPr="00807A92">
        <w:rPr>
          <w:rFonts w:ascii="Times New Roman" w:eastAsia="Times New Roman" w:hAnsi="Times New Roman" w:cs="Times New Roman"/>
          <w:sz w:val="24"/>
          <w:szCs w:val="24"/>
          <w:lang w:eastAsia="it-IT"/>
        </w:rPr>
        <w:t>82.</w:t>
      </w:r>
      <w:bookmarkEnd w:id="143"/>
      <w:r w:rsidRPr="00807A92">
        <w:rPr>
          <w:rFonts w:ascii="Times New Roman" w:eastAsia="Times New Roman" w:hAnsi="Times New Roman" w:cs="Times New Roman"/>
          <w:sz w:val="24"/>
          <w:szCs w:val="24"/>
          <w:lang w:eastAsia="it-IT"/>
        </w:rPr>
        <w:t xml:space="preserve">      Third, such fluctuation in terms of test naturally translates into somewhat different outcomes. Certainly, each case is different on its facts. However, in terms of overall approach, it is not immediately clear how to reconcile, for example, </w:t>
      </w:r>
      <w:r w:rsidRPr="00807A92">
        <w:rPr>
          <w:rFonts w:ascii="Times New Roman" w:eastAsia="Times New Roman" w:hAnsi="Times New Roman" w:cs="Times New Roman"/>
          <w:i/>
          <w:iCs/>
          <w:sz w:val="24"/>
          <w:szCs w:val="24"/>
          <w:lang w:eastAsia="it-IT"/>
        </w:rPr>
        <w:t>X and van Dijk</w:t>
      </w:r>
      <w:r w:rsidRPr="00807A92">
        <w:rPr>
          <w:rFonts w:ascii="Times New Roman" w:eastAsia="Times New Roman" w:hAnsi="Times New Roman" w:cs="Times New Roman"/>
          <w:sz w:val="24"/>
          <w:szCs w:val="24"/>
          <w:lang w:eastAsia="it-IT"/>
        </w:rPr>
        <w:t xml:space="preserve"> and </w:t>
      </w:r>
      <w:r w:rsidRPr="00807A92">
        <w:rPr>
          <w:rFonts w:ascii="Times New Roman" w:eastAsia="Times New Roman" w:hAnsi="Times New Roman" w:cs="Times New Roman"/>
          <w:i/>
          <w:iCs/>
          <w:sz w:val="24"/>
          <w:szCs w:val="24"/>
          <w:lang w:eastAsia="it-IT"/>
        </w:rPr>
        <w:t xml:space="preserve">Ferreira Da Silva e Brito. </w:t>
      </w:r>
      <w:r w:rsidRPr="00807A92">
        <w:rPr>
          <w:rFonts w:ascii="Times New Roman" w:eastAsia="Times New Roman" w:hAnsi="Times New Roman" w:cs="Times New Roman"/>
          <w:sz w:val="24"/>
          <w:szCs w:val="24"/>
          <w:lang w:eastAsia="it-IT"/>
        </w:rPr>
        <w:t xml:space="preserve">One would assume that there are likely to be reasonable doubts (and thus absence of an acte clair) if there are objective contradictory views on the interpretation of the same provisions. It is true that if one were to add arguments relating to formal authority or the separation of powers into the mix, one could distinguish </w:t>
      </w:r>
      <w:r w:rsidRPr="00807A92">
        <w:rPr>
          <w:rFonts w:ascii="Times New Roman" w:eastAsia="Times New Roman" w:hAnsi="Times New Roman" w:cs="Times New Roman"/>
          <w:i/>
          <w:iCs/>
          <w:sz w:val="24"/>
          <w:szCs w:val="24"/>
          <w:lang w:eastAsia="it-IT"/>
        </w:rPr>
        <w:t>Intermodal Transports</w:t>
      </w:r>
      <w:r w:rsidRPr="00807A92">
        <w:rPr>
          <w:rFonts w:ascii="Times New Roman" w:eastAsia="Times New Roman" w:hAnsi="Times New Roman" w:cs="Times New Roman"/>
          <w:sz w:val="24"/>
          <w:szCs w:val="24"/>
          <w:lang w:eastAsia="it-IT"/>
        </w:rPr>
        <w:t xml:space="preserve">: even if there are divergent legal interpretations of the same piece of EU law across jurisdictions, these are ‘only’ the work of administrative authorities, they are not judicial pronouncements. </w:t>
      </w:r>
    </w:p>
    <w:p w14:paraId="537A9A1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44" w:name="point83"/>
      <w:r w:rsidRPr="00807A92">
        <w:rPr>
          <w:rFonts w:ascii="Times New Roman" w:eastAsia="Times New Roman" w:hAnsi="Times New Roman" w:cs="Times New Roman"/>
          <w:sz w:val="24"/>
          <w:szCs w:val="24"/>
          <w:lang w:eastAsia="it-IT"/>
        </w:rPr>
        <w:t>83.</w:t>
      </w:r>
      <w:bookmarkEnd w:id="144"/>
      <w:r w:rsidRPr="00807A92">
        <w:rPr>
          <w:rFonts w:ascii="Times New Roman" w:eastAsia="Times New Roman" w:hAnsi="Times New Roman" w:cs="Times New Roman"/>
          <w:sz w:val="24"/>
          <w:szCs w:val="24"/>
          <w:lang w:eastAsia="it-IT"/>
        </w:rPr>
        <w:t xml:space="preserve">      However, in both </w:t>
      </w:r>
      <w:r w:rsidRPr="00807A92">
        <w:rPr>
          <w:rFonts w:ascii="Times New Roman" w:eastAsia="Times New Roman" w:hAnsi="Times New Roman" w:cs="Times New Roman"/>
          <w:i/>
          <w:iCs/>
          <w:sz w:val="24"/>
          <w:szCs w:val="24"/>
          <w:lang w:eastAsia="it-IT"/>
        </w:rPr>
        <w:t>X and van Dijk</w:t>
      </w:r>
      <w:r w:rsidRPr="00807A92">
        <w:rPr>
          <w:rFonts w:ascii="Times New Roman" w:eastAsia="Times New Roman" w:hAnsi="Times New Roman" w:cs="Times New Roman"/>
          <w:sz w:val="24"/>
          <w:szCs w:val="24"/>
          <w:lang w:eastAsia="it-IT"/>
        </w:rPr>
        <w:t xml:space="preserve"> and </w:t>
      </w:r>
      <w:r w:rsidRPr="00807A92">
        <w:rPr>
          <w:rFonts w:ascii="Times New Roman" w:eastAsia="Times New Roman" w:hAnsi="Times New Roman" w:cs="Times New Roman"/>
          <w:i/>
          <w:iCs/>
          <w:sz w:val="24"/>
          <w:szCs w:val="24"/>
          <w:lang w:eastAsia="it-IT"/>
        </w:rPr>
        <w:t>Ferreira Da Silva e Brito</w:t>
      </w:r>
      <w:r w:rsidRPr="00807A92">
        <w:rPr>
          <w:rFonts w:ascii="Times New Roman" w:eastAsia="Times New Roman" w:hAnsi="Times New Roman" w:cs="Times New Roman"/>
          <w:sz w:val="24"/>
          <w:szCs w:val="24"/>
          <w:lang w:eastAsia="it-IT"/>
        </w:rPr>
        <w:t xml:space="preserve">,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 xml:space="preserve">there were diverging judicial pronouncements on the same elements of EU law emerging from within the respective jurisdictions. Since both of those cases concerned </w:t>
      </w:r>
      <w:r w:rsidRPr="00807A92">
        <w:rPr>
          <w:rFonts w:ascii="Times New Roman" w:eastAsia="Times New Roman" w:hAnsi="Times New Roman" w:cs="Times New Roman"/>
          <w:i/>
          <w:iCs/>
          <w:sz w:val="24"/>
          <w:szCs w:val="24"/>
          <w:lang w:eastAsia="it-IT"/>
        </w:rPr>
        <w:t>different</w:t>
      </w:r>
      <w:r w:rsidRPr="00807A92">
        <w:rPr>
          <w:rFonts w:ascii="Times New Roman" w:eastAsia="Times New Roman" w:hAnsi="Times New Roman" w:cs="Times New Roman"/>
          <w:sz w:val="24"/>
          <w:szCs w:val="24"/>
          <w:lang w:eastAsia="it-IT"/>
        </w:rPr>
        <w:t xml:space="preserve"> proceedings within those Member States, it could hardly be maintained that either of them concerned a ‘one-off mistake’ by a lower court, which was waiting to be corrected by a court of last instance. There were objectively different interpretations of the same legal provisions in different proceedings within the same Member State. </w:t>
      </w:r>
    </w:p>
    <w:p w14:paraId="2175F31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45" w:name="point84"/>
      <w:r w:rsidRPr="00807A92">
        <w:rPr>
          <w:rFonts w:ascii="Times New Roman" w:eastAsia="Times New Roman" w:hAnsi="Times New Roman" w:cs="Times New Roman"/>
          <w:sz w:val="24"/>
          <w:szCs w:val="24"/>
          <w:lang w:eastAsia="it-IT"/>
        </w:rPr>
        <w:t>84.</w:t>
      </w:r>
      <w:bookmarkEnd w:id="145"/>
      <w:r w:rsidRPr="00807A92">
        <w:rPr>
          <w:rFonts w:ascii="Times New Roman" w:eastAsia="Times New Roman" w:hAnsi="Times New Roman" w:cs="Times New Roman"/>
          <w:sz w:val="24"/>
          <w:szCs w:val="24"/>
          <w:lang w:eastAsia="it-IT"/>
        </w:rPr>
        <w:t xml:space="preserve">      Again, every case is different on its facts. One could thus identify potentially relevant factual differences between the two cases, justifying a different outcome. Perhaps the most intriguing one would be to suggest that whereas </w:t>
      </w:r>
      <w:r w:rsidRPr="00807A92">
        <w:rPr>
          <w:rFonts w:ascii="Times New Roman" w:eastAsia="Times New Roman" w:hAnsi="Times New Roman" w:cs="Times New Roman"/>
          <w:i/>
          <w:iCs/>
          <w:sz w:val="24"/>
          <w:szCs w:val="24"/>
          <w:lang w:eastAsia="it-IT"/>
        </w:rPr>
        <w:t>X and van Dijk</w:t>
      </w:r>
      <w:r w:rsidRPr="00807A92">
        <w:rPr>
          <w:rFonts w:ascii="Times New Roman" w:eastAsia="Times New Roman" w:hAnsi="Times New Roman" w:cs="Times New Roman"/>
          <w:sz w:val="24"/>
          <w:szCs w:val="24"/>
          <w:lang w:eastAsia="it-IT"/>
        </w:rPr>
        <w:t xml:space="preserve"> concerned a recognised interpretative divergence </w:t>
      </w:r>
      <w:r w:rsidRPr="00807A92">
        <w:rPr>
          <w:rFonts w:ascii="Times New Roman" w:eastAsia="Times New Roman" w:hAnsi="Times New Roman" w:cs="Times New Roman"/>
          <w:i/>
          <w:iCs/>
          <w:sz w:val="24"/>
          <w:szCs w:val="24"/>
          <w:lang w:eastAsia="it-IT"/>
        </w:rPr>
        <w:t>solely within one and the same</w:t>
      </w:r>
      <w:r w:rsidRPr="00807A92">
        <w:rPr>
          <w:rFonts w:ascii="Times New Roman" w:eastAsia="Times New Roman" w:hAnsi="Times New Roman" w:cs="Times New Roman"/>
          <w:sz w:val="24"/>
          <w:szCs w:val="24"/>
          <w:lang w:eastAsia="it-IT"/>
        </w:rPr>
        <w:t xml:space="preserve"> national legal system, in </w:t>
      </w:r>
      <w:r w:rsidRPr="00807A92">
        <w:rPr>
          <w:rFonts w:ascii="Times New Roman" w:eastAsia="Times New Roman" w:hAnsi="Times New Roman" w:cs="Times New Roman"/>
          <w:i/>
          <w:iCs/>
          <w:sz w:val="24"/>
          <w:szCs w:val="24"/>
          <w:lang w:eastAsia="it-IT"/>
        </w:rPr>
        <w:t>Ferreira Da Silva e Brito</w:t>
      </w:r>
      <w:r w:rsidRPr="00807A92">
        <w:rPr>
          <w:rFonts w:ascii="Times New Roman" w:eastAsia="Times New Roman" w:hAnsi="Times New Roman" w:cs="Times New Roman"/>
          <w:sz w:val="24"/>
          <w:szCs w:val="24"/>
          <w:lang w:eastAsia="it-IT"/>
        </w:rPr>
        <w:t xml:space="preserve">, that divergence was not only within one Member State, but also apparently </w:t>
      </w:r>
      <w:r w:rsidRPr="00807A92">
        <w:rPr>
          <w:rFonts w:ascii="Times New Roman" w:eastAsia="Times New Roman" w:hAnsi="Times New Roman" w:cs="Times New Roman"/>
          <w:i/>
          <w:iCs/>
          <w:sz w:val="24"/>
          <w:szCs w:val="24"/>
          <w:lang w:eastAsia="it-IT"/>
        </w:rPr>
        <w:t>across the Union</w:t>
      </w:r>
      <w:r w:rsidRPr="00807A92">
        <w:rPr>
          <w:rFonts w:ascii="Times New Roman" w:eastAsia="Times New Roman" w:hAnsi="Times New Roman" w:cs="Times New Roman"/>
          <w:sz w:val="24"/>
          <w:szCs w:val="24"/>
          <w:lang w:eastAsia="it-IT"/>
        </w:rPr>
        <w:t>. Indeed, as the Court noted in that latter judgment, ‘the question as to how the concept of a “transfer of a business” should be interpreted has given rise to a great deal of uncertainty on the part of many national courts and tribunals which, as a consequence, have found it necessary to make a reference to the Court of Justice. That uncertainty shows not only that there are difficulties of interpretation, but also that there is a risk of divergences in judicial decision within the European Union’. (</w:t>
      </w:r>
      <w:bookmarkStart w:id="146" w:name="Footref62"/>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"Footnote62"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62</w:t>
      </w:r>
      <w:r w:rsidRPr="00807A92">
        <w:rPr>
          <w:rFonts w:ascii="Times New Roman" w:eastAsia="Times New Roman" w:hAnsi="Times New Roman" w:cs="Times New Roman"/>
          <w:sz w:val="24"/>
          <w:szCs w:val="24"/>
          <w:lang w:eastAsia="it-IT"/>
        </w:rPr>
        <w:fldChar w:fldCharType="end"/>
      </w:r>
      <w:bookmarkEnd w:id="146"/>
      <w:r w:rsidRPr="00807A92">
        <w:rPr>
          <w:rFonts w:ascii="Times New Roman" w:eastAsia="Times New Roman" w:hAnsi="Times New Roman" w:cs="Times New Roman"/>
          <w:sz w:val="24"/>
          <w:szCs w:val="24"/>
          <w:lang w:eastAsia="it-IT"/>
        </w:rPr>
        <w:t>)</w:t>
      </w:r>
    </w:p>
    <w:p w14:paraId="44FC976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47" w:name="point85"/>
      <w:r w:rsidRPr="00807A92">
        <w:rPr>
          <w:rFonts w:ascii="Times New Roman" w:eastAsia="Times New Roman" w:hAnsi="Times New Roman" w:cs="Times New Roman"/>
          <w:sz w:val="24"/>
          <w:szCs w:val="24"/>
          <w:lang w:eastAsia="it-IT"/>
        </w:rPr>
        <w:t>85.</w:t>
      </w:r>
      <w:bookmarkEnd w:id="147"/>
      <w:r w:rsidRPr="00807A92">
        <w:rPr>
          <w:rFonts w:ascii="Times New Roman" w:eastAsia="Times New Roman" w:hAnsi="Times New Roman" w:cs="Times New Roman"/>
          <w:sz w:val="24"/>
          <w:szCs w:val="24"/>
          <w:lang w:eastAsia="it-IT"/>
        </w:rPr>
        <w:t xml:space="preserve">      Was it indeed the intention of the Court suddenly to start taking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literally, that is to say that a national court ‘must be convinced that the matter is equally obvious to the courts of </w:t>
      </w:r>
      <w:r w:rsidRPr="00807A92">
        <w:rPr>
          <w:rFonts w:ascii="Times New Roman" w:eastAsia="Times New Roman" w:hAnsi="Times New Roman" w:cs="Times New Roman"/>
          <w:i/>
          <w:iCs/>
          <w:sz w:val="24"/>
          <w:szCs w:val="24"/>
          <w:lang w:eastAsia="it-IT"/>
        </w:rPr>
        <w:t>other</w:t>
      </w:r>
      <w:r w:rsidRPr="00807A92">
        <w:rPr>
          <w:rFonts w:ascii="Times New Roman" w:eastAsia="Times New Roman" w:hAnsi="Times New Roman" w:cs="Times New Roman"/>
          <w:sz w:val="24"/>
          <w:szCs w:val="24"/>
          <w:lang w:eastAsia="it-IT"/>
        </w:rPr>
        <w:t xml:space="preserve"> Member States and to the Court of Justice’, (</w:t>
      </w:r>
      <w:bookmarkStart w:id="148" w:name="Footref63"/>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"Footnote63"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63</w:t>
      </w:r>
      <w:r w:rsidRPr="00807A92">
        <w:rPr>
          <w:rFonts w:ascii="Times New Roman" w:eastAsia="Times New Roman" w:hAnsi="Times New Roman" w:cs="Times New Roman"/>
          <w:sz w:val="24"/>
          <w:szCs w:val="24"/>
          <w:lang w:eastAsia="it-IT"/>
        </w:rPr>
        <w:fldChar w:fldCharType="end"/>
      </w:r>
      <w:bookmarkEnd w:id="148"/>
      <w:r w:rsidRPr="00807A92">
        <w:rPr>
          <w:rFonts w:ascii="Times New Roman" w:eastAsia="Times New Roman" w:hAnsi="Times New Roman" w:cs="Times New Roman"/>
          <w:sz w:val="24"/>
          <w:szCs w:val="24"/>
          <w:lang w:eastAsia="it-IT"/>
        </w:rPr>
        <w:t xml:space="preserve">) to the exclusion of contradictory decisions on matters of EU law coming from </w:t>
      </w:r>
      <w:r w:rsidRPr="00807A92">
        <w:rPr>
          <w:rFonts w:ascii="Times New Roman" w:eastAsia="Times New Roman" w:hAnsi="Times New Roman" w:cs="Times New Roman"/>
          <w:i/>
          <w:iCs/>
          <w:sz w:val="24"/>
          <w:szCs w:val="24"/>
          <w:lang w:eastAsia="it-IT"/>
        </w:rPr>
        <w:t>within the same</w:t>
      </w:r>
      <w:r w:rsidRPr="00807A92">
        <w:rPr>
          <w:rFonts w:ascii="Times New Roman" w:eastAsia="Times New Roman" w:hAnsi="Times New Roman" w:cs="Times New Roman"/>
          <w:sz w:val="24"/>
          <w:szCs w:val="24"/>
          <w:lang w:eastAsia="it-IT"/>
        </w:rPr>
        <w:t xml:space="preserve"> Member State? Intriguingly, such a reading is possible. Nonetheless, there is a very important premiss hidden therein, namely that it is for the respective national supreme courts to ‘put their own house in order’ and unify national case-law. Only then, in the event of interpretative divergences across the Member States, would the duty to refer be triggered. (</w:t>
      </w:r>
      <w:bookmarkStart w:id="149" w:name="Footref64"/>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"Footnote64"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64</w:t>
      </w:r>
      <w:r w:rsidRPr="00807A92">
        <w:rPr>
          <w:rFonts w:ascii="Times New Roman" w:eastAsia="Times New Roman" w:hAnsi="Times New Roman" w:cs="Times New Roman"/>
          <w:sz w:val="24"/>
          <w:szCs w:val="24"/>
          <w:lang w:eastAsia="it-IT"/>
        </w:rPr>
        <w:fldChar w:fldCharType="end"/>
      </w:r>
      <w:bookmarkEnd w:id="149"/>
      <w:r w:rsidRPr="00807A92">
        <w:rPr>
          <w:rFonts w:ascii="Times New Roman" w:eastAsia="Times New Roman" w:hAnsi="Times New Roman" w:cs="Times New Roman"/>
          <w:sz w:val="24"/>
          <w:szCs w:val="24"/>
          <w:lang w:eastAsia="it-IT"/>
        </w:rPr>
        <w:t>)</w:t>
      </w:r>
    </w:p>
    <w:p w14:paraId="2949D5B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50" w:name="point86"/>
      <w:r w:rsidRPr="00807A92">
        <w:rPr>
          <w:rFonts w:ascii="Times New Roman" w:eastAsia="Times New Roman" w:hAnsi="Times New Roman" w:cs="Times New Roman"/>
          <w:sz w:val="24"/>
          <w:szCs w:val="24"/>
          <w:lang w:eastAsia="it-IT"/>
        </w:rPr>
        <w:lastRenderedPageBreak/>
        <w:t>86.</w:t>
      </w:r>
      <w:bookmarkEnd w:id="150"/>
      <w:r w:rsidRPr="00807A92">
        <w:rPr>
          <w:rFonts w:ascii="Times New Roman" w:eastAsia="Times New Roman" w:hAnsi="Times New Roman" w:cs="Times New Roman"/>
          <w:sz w:val="24"/>
          <w:szCs w:val="24"/>
          <w:lang w:eastAsia="it-IT"/>
        </w:rPr>
        <w:t xml:space="preserve">      However, the fact remains that, on the whole, it is not easy to reconcile the recent case-law of the Court outlined in this section. This fact has encouraged a number of scholars to speculate about whether the Court has relaxed, somewhat tacitly, the </w:t>
      </w:r>
      <w:r w:rsidRPr="00807A92">
        <w:rPr>
          <w:rFonts w:ascii="Times New Roman" w:eastAsia="Times New Roman" w:hAnsi="Times New Roman" w:cs="Times New Roman"/>
          <w:i/>
          <w:iCs/>
          <w:sz w:val="24"/>
          <w:szCs w:val="24"/>
          <w:lang w:eastAsia="it-IT"/>
        </w:rPr>
        <w:t>CILFIT acte clair</w:t>
      </w:r>
      <w:r w:rsidRPr="00807A92">
        <w:rPr>
          <w:rFonts w:ascii="Times New Roman" w:eastAsia="Times New Roman" w:hAnsi="Times New Roman" w:cs="Times New Roman"/>
          <w:sz w:val="24"/>
          <w:szCs w:val="24"/>
          <w:lang w:eastAsia="it-IT"/>
        </w:rPr>
        <w:t xml:space="preserve"> criteria. (</w:t>
      </w:r>
      <w:bookmarkStart w:id="151" w:name="Footref65"/>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"Footnote65"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65</w:t>
      </w:r>
      <w:r w:rsidRPr="00807A92">
        <w:rPr>
          <w:rFonts w:ascii="Times New Roman" w:eastAsia="Times New Roman" w:hAnsi="Times New Roman" w:cs="Times New Roman"/>
          <w:sz w:val="24"/>
          <w:szCs w:val="24"/>
          <w:lang w:eastAsia="it-IT"/>
        </w:rPr>
        <w:fldChar w:fldCharType="end"/>
      </w:r>
      <w:bookmarkEnd w:id="151"/>
      <w:r w:rsidRPr="00807A92">
        <w:rPr>
          <w:rFonts w:ascii="Times New Roman" w:eastAsia="Times New Roman" w:hAnsi="Times New Roman" w:cs="Times New Roman"/>
          <w:sz w:val="24"/>
          <w:szCs w:val="24"/>
          <w:lang w:eastAsia="it-IT"/>
        </w:rPr>
        <w:t>) It would appear that certain national courts have also understood it in the same way. (</w:t>
      </w:r>
      <w:bookmarkStart w:id="152" w:name="Footref66"/>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"Footnote66"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66</w:t>
      </w:r>
      <w:r w:rsidRPr="00807A92">
        <w:rPr>
          <w:rFonts w:ascii="Times New Roman" w:eastAsia="Times New Roman" w:hAnsi="Times New Roman" w:cs="Times New Roman"/>
          <w:sz w:val="24"/>
          <w:szCs w:val="24"/>
          <w:lang w:eastAsia="it-IT"/>
        </w:rPr>
        <w:fldChar w:fldCharType="end"/>
      </w:r>
      <w:bookmarkEnd w:id="152"/>
      <w:r w:rsidRPr="00807A92">
        <w:rPr>
          <w:rFonts w:ascii="Times New Roman" w:eastAsia="Times New Roman" w:hAnsi="Times New Roman" w:cs="Times New Roman"/>
          <w:sz w:val="24"/>
          <w:szCs w:val="24"/>
          <w:lang w:eastAsia="it-IT"/>
        </w:rPr>
        <w:t>)</w:t>
      </w:r>
    </w:p>
    <w:p w14:paraId="1097976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53" w:name="point87"/>
      <w:r w:rsidRPr="00807A92">
        <w:rPr>
          <w:rFonts w:ascii="Times New Roman" w:eastAsia="Times New Roman" w:hAnsi="Times New Roman" w:cs="Times New Roman"/>
          <w:sz w:val="24"/>
          <w:szCs w:val="24"/>
          <w:lang w:eastAsia="it-IT"/>
        </w:rPr>
        <w:t>87.</w:t>
      </w:r>
      <w:bookmarkEnd w:id="153"/>
      <w:r w:rsidRPr="00807A92">
        <w:rPr>
          <w:rFonts w:ascii="Times New Roman" w:eastAsia="Times New Roman" w:hAnsi="Times New Roman" w:cs="Times New Roman"/>
          <w:sz w:val="24"/>
          <w:szCs w:val="24"/>
          <w:lang w:eastAsia="it-IT"/>
        </w:rPr>
        <w:t xml:space="preserve">      In summary, I would suggest that the diversity in the case-law outlined justifies already, </w:t>
      </w:r>
      <w:r w:rsidRPr="00807A92">
        <w:rPr>
          <w:rFonts w:ascii="Times New Roman" w:eastAsia="Times New Roman" w:hAnsi="Times New Roman" w:cs="Times New Roman"/>
          <w:i/>
          <w:iCs/>
          <w:sz w:val="24"/>
          <w:szCs w:val="24"/>
          <w:lang w:eastAsia="it-IT"/>
        </w:rPr>
        <w:t>in its own right</w:t>
      </w:r>
      <w:r w:rsidRPr="00807A92">
        <w:rPr>
          <w:rFonts w:ascii="Times New Roman" w:eastAsia="Times New Roman" w:hAnsi="Times New Roman" w:cs="Times New Roman"/>
          <w:sz w:val="24"/>
          <w:szCs w:val="24"/>
          <w:lang w:eastAsia="it-IT"/>
        </w:rPr>
        <w:t>, the intervention of the (Grand Chamber of the) Court in order to clarify exactly what, at present, is the scope of the duty to refer under the third paragraph of Article 267 TFEU and the possible exceptions to that duty.</w:t>
      </w:r>
    </w:p>
    <w:p w14:paraId="22983BC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C.      </w:t>
      </w:r>
      <w:r w:rsidRPr="00807A92">
        <w:rPr>
          <w:rFonts w:ascii="Times New Roman" w:eastAsia="Times New Roman" w:hAnsi="Times New Roman" w:cs="Times New Roman"/>
          <w:b/>
          <w:bCs/>
          <w:sz w:val="24"/>
          <w:szCs w:val="24"/>
          <w:lang w:eastAsia="it-IT"/>
        </w:rPr>
        <w:t xml:space="preserve">The problems with </w:t>
      </w:r>
      <w:r w:rsidRPr="00807A92">
        <w:rPr>
          <w:rFonts w:ascii="Times New Roman" w:eastAsia="Times New Roman" w:hAnsi="Times New Roman" w:cs="Times New Roman"/>
          <w:b/>
          <w:bCs/>
          <w:i/>
          <w:iCs/>
          <w:sz w:val="24"/>
          <w:szCs w:val="24"/>
          <w:lang w:eastAsia="it-IT"/>
        </w:rPr>
        <w:t>CILFIT</w:t>
      </w:r>
    </w:p>
    <w:p w14:paraId="453A610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54" w:name="point88"/>
      <w:r w:rsidRPr="00807A92">
        <w:rPr>
          <w:rFonts w:ascii="Times New Roman" w:eastAsia="Times New Roman" w:hAnsi="Times New Roman" w:cs="Times New Roman"/>
          <w:sz w:val="24"/>
          <w:szCs w:val="24"/>
          <w:lang w:eastAsia="it-IT"/>
        </w:rPr>
        <w:t>88.</w:t>
      </w:r>
      <w:bookmarkEnd w:id="154"/>
      <w:r w:rsidRPr="00807A92">
        <w:rPr>
          <w:rFonts w:ascii="Times New Roman" w:eastAsia="Times New Roman" w:hAnsi="Times New Roman" w:cs="Times New Roman"/>
          <w:sz w:val="24"/>
          <w:szCs w:val="24"/>
          <w:lang w:eastAsia="it-IT"/>
        </w:rPr>
        <w:t xml:space="preserve">      In this section, I seek to point out the problems (C) that ought to guide, in my view, the revisiting of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suggested in the following section (D). I place the problems into four categories: those that are </w:t>
      </w:r>
      <w:r w:rsidRPr="00807A92">
        <w:rPr>
          <w:rFonts w:ascii="Times New Roman" w:eastAsia="Times New Roman" w:hAnsi="Times New Roman" w:cs="Times New Roman"/>
          <w:i/>
          <w:iCs/>
          <w:sz w:val="24"/>
          <w:szCs w:val="24"/>
          <w:lang w:eastAsia="it-IT"/>
        </w:rPr>
        <w:t xml:space="preserve">conceptual </w:t>
      </w:r>
      <w:r w:rsidRPr="00807A92">
        <w:rPr>
          <w:rFonts w:ascii="Times New Roman" w:eastAsia="Times New Roman" w:hAnsi="Times New Roman" w:cs="Times New Roman"/>
          <w:sz w:val="24"/>
          <w:szCs w:val="24"/>
          <w:lang w:eastAsia="it-IT"/>
        </w:rPr>
        <w:t xml:space="preserve">and were present and inherent in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from the very beginning (1); those relating to the</w:t>
      </w:r>
      <w:r w:rsidRPr="00807A92">
        <w:rPr>
          <w:rFonts w:ascii="Times New Roman" w:eastAsia="Times New Roman" w:hAnsi="Times New Roman" w:cs="Times New Roman"/>
          <w:i/>
          <w:iCs/>
          <w:sz w:val="24"/>
          <w:szCs w:val="24"/>
          <w:lang w:eastAsia="it-IT"/>
        </w:rPr>
        <w:t xml:space="preserve"> feasibility</w:t>
      </w:r>
      <w:r w:rsidRPr="00807A92">
        <w:rPr>
          <w:rFonts w:ascii="Times New Roman" w:eastAsia="Times New Roman" w:hAnsi="Times New Roman" w:cs="Times New Roman"/>
          <w:sz w:val="24"/>
          <w:szCs w:val="24"/>
          <w:lang w:eastAsia="it-IT"/>
        </w:rPr>
        <w:t xml:space="preserve"> of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criteria (2); those concerning the </w:t>
      </w:r>
      <w:r w:rsidRPr="00807A92">
        <w:rPr>
          <w:rFonts w:ascii="Times New Roman" w:eastAsia="Times New Roman" w:hAnsi="Times New Roman" w:cs="Times New Roman"/>
          <w:i/>
          <w:iCs/>
          <w:sz w:val="24"/>
          <w:szCs w:val="24"/>
          <w:lang w:eastAsia="it-IT"/>
        </w:rPr>
        <w:t xml:space="preserve">systemic </w:t>
      </w:r>
      <w:r w:rsidRPr="00807A92">
        <w:rPr>
          <w:rFonts w:ascii="Times New Roman" w:eastAsia="Times New Roman" w:hAnsi="Times New Roman" w:cs="Times New Roman"/>
          <w:sz w:val="24"/>
          <w:szCs w:val="24"/>
          <w:lang w:eastAsia="it-IT"/>
        </w:rPr>
        <w:t xml:space="preserve">inconsistency of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criteria with other types of proceedings and remedies in EU law (3); and finally those which have arisen later due to the subsequent </w:t>
      </w:r>
      <w:r w:rsidRPr="00807A92">
        <w:rPr>
          <w:rFonts w:ascii="Times New Roman" w:eastAsia="Times New Roman" w:hAnsi="Times New Roman" w:cs="Times New Roman"/>
          <w:i/>
          <w:iCs/>
          <w:sz w:val="24"/>
          <w:szCs w:val="24"/>
          <w:lang w:eastAsia="it-IT"/>
        </w:rPr>
        <w:t>evolution</w:t>
      </w:r>
      <w:r w:rsidRPr="00807A92">
        <w:rPr>
          <w:rFonts w:ascii="Times New Roman" w:eastAsia="Times New Roman" w:hAnsi="Times New Roman" w:cs="Times New Roman"/>
          <w:sz w:val="24"/>
          <w:szCs w:val="24"/>
          <w:lang w:eastAsia="it-IT"/>
        </w:rPr>
        <w:t xml:space="preserve"> of EU law and the EU judicial system (4). </w:t>
      </w:r>
    </w:p>
    <w:p w14:paraId="6BA9A05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1.      </w:t>
      </w:r>
      <w:r w:rsidRPr="00807A92">
        <w:rPr>
          <w:rFonts w:ascii="Times New Roman" w:eastAsia="Times New Roman" w:hAnsi="Times New Roman" w:cs="Times New Roman"/>
          <w:b/>
          <w:bCs/>
          <w:i/>
          <w:iCs/>
          <w:sz w:val="24"/>
          <w:szCs w:val="24"/>
          <w:lang w:eastAsia="it-IT"/>
        </w:rPr>
        <w:t>Conceptual</w:t>
      </w:r>
    </w:p>
    <w:p w14:paraId="6579E08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55" w:name="point89"/>
      <w:r w:rsidRPr="00807A92">
        <w:rPr>
          <w:rFonts w:ascii="Times New Roman" w:eastAsia="Times New Roman" w:hAnsi="Times New Roman" w:cs="Times New Roman"/>
          <w:sz w:val="24"/>
          <w:szCs w:val="24"/>
          <w:lang w:eastAsia="it-IT"/>
        </w:rPr>
        <w:t>89.</w:t>
      </w:r>
      <w:bookmarkEnd w:id="155"/>
      <w:r w:rsidRPr="00807A92">
        <w:rPr>
          <w:rFonts w:ascii="Times New Roman" w:eastAsia="Times New Roman" w:hAnsi="Times New Roman" w:cs="Times New Roman"/>
          <w:sz w:val="24"/>
          <w:szCs w:val="24"/>
          <w:lang w:eastAsia="it-IT"/>
        </w:rPr>
        <w:t xml:space="preserve">      There are a number of flaws in the original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blueprint and design. This is why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criteria were conceptually problematic from their very inception. </w:t>
      </w:r>
    </w:p>
    <w:p w14:paraId="0FA8A09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56" w:name="point90"/>
      <w:r w:rsidRPr="00807A92">
        <w:rPr>
          <w:rFonts w:ascii="Times New Roman" w:eastAsia="Times New Roman" w:hAnsi="Times New Roman" w:cs="Times New Roman"/>
          <w:sz w:val="24"/>
          <w:szCs w:val="24"/>
          <w:lang w:eastAsia="it-IT"/>
        </w:rPr>
        <w:t>90.</w:t>
      </w:r>
      <w:bookmarkEnd w:id="156"/>
      <w:r w:rsidRPr="00807A92">
        <w:rPr>
          <w:rFonts w:ascii="Times New Roman" w:eastAsia="Times New Roman" w:hAnsi="Times New Roman" w:cs="Times New Roman"/>
          <w:sz w:val="24"/>
          <w:szCs w:val="24"/>
          <w:lang w:eastAsia="it-IT"/>
        </w:rPr>
        <w:t xml:space="preserve">      First and foremost, there is what I would call the ‘Hoffmann-Laroche-CILFIT mismatch’. Put simply, the logic of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exceptions does not correspond with the nature of the </w:t>
      </w:r>
      <w:r w:rsidRPr="00807A92">
        <w:rPr>
          <w:rFonts w:ascii="Times New Roman" w:eastAsia="Times New Roman" w:hAnsi="Times New Roman" w:cs="Times New Roman"/>
          <w:i/>
          <w:iCs/>
          <w:sz w:val="24"/>
          <w:szCs w:val="24"/>
          <w:lang w:eastAsia="it-IT"/>
        </w:rPr>
        <w:t>Hoffmann-Laroche</w:t>
      </w:r>
      <w:r w:rsidRPr="00807A92">
        <w:rPr>
          <w:rFonts w:ascii="Times New Roman" w:eastAsia="Times New Roman" w:hAnsi="Times New Roman" w:cs="Times New Roman"/>
          <w:sz w:val="24"/>
          <w:szCs w:val="24"/>
          <w:lang w:eastAsia="it-IT"/>
        </w:rPr>
        <w:t xml:space="preserve"> duty to refer a question for a preliminary ruling.</w:t>
      </w:r>
    </w:p>
    <w:p w14:paraId="5325CE7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57" w:name="point91"/>
      <w:r w:rsidRPr="00807A92">
        <w:rPr>
          <w:rFonts w:ascii="Times New Roman" w:eastAsia="Times New Roman" w:hAnsi="Times New Roman" w:cs="Times New Roman"/>
          <w:sz w:val="24"/>
          <w:szCs w:val="24"/>
          <w:lang w:eastAsia="it-IT"/>
        </w:rPr>
        <w:t>91.</w:t>
      </w:r>
      <w:bookmarkEnd w:id="157"/>
      <w:r w:rsidRPr="00807A92">
        <w:rPr>
          <w:rFonts w:ascii="Times New Roman" w:eastAsia="Times New Roman" w:hAnsi="Times New Roman" w:cs="Times New Roman"/>
          <w:sz w:val="24"/>
          <w:szCs w:val="24"/>
          <w:lang w:eastAsia="it-IT"/>
        </w:rPr>
        <w:t xml:space="preserve">      Ever since </w:t>
      </w:r>
      <w:r w:rsidRPr="00807A92">
        <w:rPr>
          <w:rFonts w:ascii="Times New Roman" w:eastAsia="Times New Roman" w:hAnsi="Times New Roman" w:cs="Times New Roman"/>
          <w:i/>
          <w:iCs/>
          <w:sz w:val="24"/>
          <w:szCs w:val="24"/>
          <w:lang w:eastAsia="it-IT"/>
        </w:rPr>
        <w:t>Hoffmann-Laroche</w:t>
      </w:r>
      <w:r w:rsidRPr="00807A92">
        <w:rPr>
          <w:rFonts w:ascii="Times New Roman" w:eastAsia="Times New Roman" w:hAnsi="Times New Roman" w:cs="Times New Roman"/>
          <w:sz w:val="24"/>
          <w:szCs w:val="24"/>
          <w:lang w:eastAsia="it-IT"/>
        </w:rPr>
        <w:t xml:space="preserve"> in 1977, the Court has continued to insist that the purpose of the duty to refer is to prevent a body of case-law being established in a Member State which deviates from that of other Member States and also from that of the Court. (</w:t>
      </w:r>
      <w:bookmarkStart w:id="158" w:name="Footref67"/>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"Footnote67"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67</w:t>
      </w:r>
      <w:r w:rsidRPr="00807A92">
        <w:rPr>
          <w:rFonts w:ascii="Times New Roman" w:eastAsia="Times New Roman" w:hAnsi="Times New Roman" w:cs="Times New Roman"/>
          <w:sz w:val="24"/>
          <w:szCs w:val="24"/>
          <w:lang w:eastAsia="it-IT"/>
        </w:rPr>
        <w:fldChar w:fldCharType="end"/>
      </w:r>
      <w:bookmarkEnd w:id="158"/>
      <w:r w:rsidRPr="00807A92">
        <w:rPr>
          <w:rFonts w:ascii="Times New Roman" w:eastAsia="Times New Roman" w:hAnsi="Times New Roman" w:cs="Times New Roman"/>
          <w:sz w:val="24"/>
          <w:szCs w:val="24"/>
          <w:lang w:eastAsia="it-IT"/>
        </w:rPr>
        <w:t xml:space="preserve">) The logic behind such a duty to refer is clearly </w:t>
      </w:r>
      <w:r w:rsidRPr="00807A92">
        <w:rPr>
          <w:rFonts w:ascii="Times New Roman" w:eastAsia="Times New Roman" w:hAnsi="Times New Roman" w:cs="Times New Roman"/>
          <w:i/>
          <w:iCs/>
          <w:sz w:val="24"/>
          <w:szCs w:val="24"/>
          <w:lang w:eastAsia="it-IT"/>
        </w:rPr>
        <w:t>structural</w:t>
      </w:r>
      <w:r w:rsidRPr="00807A92">
        <w:rPr>
          <w:rFonts w:ascii="Times New Roman" w:eastAsia="Times New Roman" w:hAnsi="Times New Roman" w:cs="Times New Roman"/>
          <w:sz w:val="24"/>
          <w:szCs w:val="24"/>
          <w:lang w:eastAsia="it-IT"/>
        </w:rPr>
        <w:t xml:space="preserve"> and focused on uniform </w:t>
      </w:r>
      <w:r w:rsidRPr="00807A92">
        <w:rPr>
          <w:rFonts w:ascii="Times New Roman" w:eastAsia="Times New Roman" w:hAnsi="Times New Roman" w:cs="Times New Roman"/>
          <w:i/>
          <w:iCs/>
          <w:sz w:val="24"/>
          <w:szCs w:val="24"/>
          <w:lang w:eastAsia="it-IT"/>
        </w:rPr>
        <w:t>interpretation</w:t>
      </w:r>
      <w:r w:rsidRPr="00807A92">
        <w:rPr>
          <w:rFonts w:ascii="Times New Roman" w:eastAsia="Times New Roman" w:hAnsi="Times New Roman" w:cs="Times New Roman"/>
          <w:sz w:val="24"/>
          <w:szCs w:val="24"/>
          <w:lang w:eastAsia="it-IT"/>
        </w:rPr>
        <w:t xml:space="preserve"> across the European Union. Its triggering point and nature appear </w:t>
      </w:r>
      <w:r w:rsidRPr="00807A92">
        <w:rPr>
          <w:rFonts w:ascii="Times New Roman" w:eastAsia="Times New Roman" w:hAnsi="Times New Roman" w:cs="Times New Roman"/>
          <w:i/>
          <w:iCs/>
          <w:sz w:val="24"/>
          <w:szCs w:val="24"/>
          <w:lang w:eastAsia="it-IT"/>
        </w:rPr>
        <w:t>objective</w:t>
      </w:r>
      <w:r w:rsidRPr="00807A92">
        <w:rPr>
          <w:rFonts w:ascii="Times New Roman" w:eastAsia="Times New Roman" w:hAnsi="Times New Roman" w:cs="Times New Roman"/>
          <w:sz w:val="24"/>
          <w:szCs w:val="24"/>
          <w:lang w:eastAsia="it-IT"/>
        </w:rPr>
        <w:t xml:space="preserve">, focusing on the case-law in general, not merely on the individual case before the referring court: there shall be no divergence in the national </w:t>
      </w:r>
      <w:r w:rsidRPr="00807A92">
        <w:rPr>
          <w:rFonts w:ascii="Times New Roman" w:eastAsia="Times New Roman" w:hAnsi="Times New Roman" w:cs="Times New Roman"/>
          <w:i/>
          <w:iCs/>
          <w:sz w:val="24"/>
          <w:szCs w:val="24"/>
          <w:lang w:eastAsia="it-IT"/>
        </w:rPr>
        <w:t>case-law</w:t>
      </w:r>
      <w:r w:rsidRPr="00807A92">
        <w:rPr>
          <w:rFonts w:ascii="Times New Roman" w:eastAsia="Times New Roman" w:hAnsi="Times New Roman" w:cs="Times New Roman"/>
          <w:sz w:val="24"/>
          <w:szCs w:val="24"/>
          <w:lang w:eastAsia="it-IT"/>
        </w:rPr>
        <w:t xml:space="preserve"> (‘la jurisprudence’; ‘die Rechtsprechung’; ‘guirisprudenza’; or ‘rechtspraak’ as it appeared in the other official languages at that time). (</w:t>
      </w:r>
      <w:bookmarkStart w:id="159" w:name="Footref68"/>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"Footnote68"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68</w:t>
      </w:r>
      <w:r w:rsidRPr="00807A92">
        <w:rPr>
          <w:rFonts w:ascii="Times New Roman" w:eastAsia="Times New Roman" w:hAnsi="Times New Roman" w:cs="Times New Roman"/>
          <w:sz w:val="24"/>
          <w:szCs w:val="24"/>
          <w:lang w:eastAsia="it-IT"/>
        </w:rPr>
        <w:fldChar w:fldCharType="end"/>
      </w:r>
      <w:bookmarkEnd w:id="159"/>
      <w:r w:rsidRPr="00807A92">
        <w:rPr>
          <w:rFonts w:ascii="Times New Roman" w:eastAsia="Times New Roman" w:hAnsi="Times New Roman" w:cs="Times New Roman"/>
          <w:sz w:val="24"/>
          <w:szCs w:val="24"/>
          <w:lang w:eastAsia="it-IT"/>
        </w:rPr>
        <w:t>)</w:t>
      </w:r>
    </w:p>
    <w:p w14:paraId="6C6EB6F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60" w:name="point92"/>
      <w:r w:rsidRPr="00807A92">
        <w:rPr>
          <w:rFonts w:ascii="Times New Roman" w:eastAsia="Times New Roman" w:hAnsi="Times New Roman" w:cs="Times New Roman"/>
          <w:sz w:val="24"/>
          <w:szCs w:val="24"/>
          <w:lang w:eastAsia="it-IT"/>
        </w:rPr>
        <w:t>92.</w:t>
      </w:r>
      <w:bookmarkEnd w:id="160"/>
      <w:r w:rsidRPr="00807A92">
        <w:rPr>
          <w:rFonts w:ascii="Times New Roman" w:eastAsia="Times New Roman" w:hAnsi="Times New Roman" w:cs="Times New Roman"/>
          <w:sz w:val="24"/>
          <w:szCs w:val="24"/>
          <w:lang w:eastAsia="it-IT"/>
        </w:rPr>
        <w:t xml:space="preserve">      However, around five years later, when the exceptions to that duty were set out in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the logic guiding those exceptions became focused primarily on the </w:t>
      </w:r>
      <w:r w:rsidRPr="00807A92">
        <w:rPr>
          <w:rFonts w:ascii="Times New Roman" w:eastAsia="Times New Roman" w:hAnsi="Times New Roman" w:cs="Times New Roman"/>
          <w:i/>
          <w:iCs/>
          <w:sz w:val="24"/>
          <w:szCs w:val="24"/>
          <w:lang w:eastAsia="it-IT"/>
        </w:rPr>
        <w:t>individual</w:t>
      </w:r>
      <w:r w:rsidRPr="00807A92">
        <w:rPr>
          <w:rFonts w:ascii="Times New Roman" w:eastAsia="Times New Roman" w:hAnsi="Times New Roman" w:cs="Times New Roman"/>
          <w:sz w:val="24"/>
          <w:szCs w:val="24"/>
          <w:lang w:eastAsia="it-IT"/>
        </w:rPr>
        <w:t xml:space="preserve"> case and the </w:t>
      </w:r>
      <w:r w:rsidRPr="00807A92">
        <w:rPr>
          <w:rFonts w:ascii="Times New Roman" w:eastAsia="Times New Roman" w:hAnsi="Times New Roman" w:cs="Times New Roman"/>
          <w:i/>
          <w:iCs/>
          <w:sz w:val="24"/>
          <w:szCs w:val="24"/>
          <w:lang w:eastAsia="it-IT"/>
        </w:rPr>
        <w:t>subjective</w:t>
      </w:r>
      <w:r w:rsidRPr="00807A92">
        <w:rPr>
          <w:rFonts w:ascii="Times New Roman" w:eastAsia="Times New Roman" w:hAnsi="Times New Roman" w:cs="Times New Roman"/>
          <w:sz w:val="24"/>
          <w:szCs w:val="24"/>
          <w:lang w:eastAsia="it-IT"/>
        </w:rPr>
        <w:t xml:space="preserve"> judicial hesitations in that </w:t>
      </w:r>
      <w:r w:rsidRPr="00807A92">
        <w:rPr>
          <w:rFonts w:ascii="Times New Roman" w:eastAsia="Times New Roman" w:hAnsi="Times New Roman" w:cs="Times New Roman"/>
          <w:i/>
          <w:iCs/>
          <w:sz w:val="24"/>
          <w:szCs w:val="24"/>
          <w:lang w:eastAsia="it-IT"/>
        </w:rPr>
        <w:t xml:space="preserve">specific </w:t>
      </w:r>
      <w:r w:rsidRPr="00807A92">
        <w:rPr>
          <w:rFonts w:ascii="Times New Roman" w:eastAsia="Times New Roman" w:hAnsi="Times New Roman" w:cs="Times New Roman"/>
          <w:sz w:val="24"/>
          <w:szCs w:val="24"/>
          <w:lang w:eastAsia="it-IT"/>
        </w:rPr>
        <w:t xml:space="preserve">case. The only real exception, taking into account structural or systemic considerations, that asks the national judge to look beyond the individual file, is the exception relating to </w:t>
      </w:r>
      <w:r w:rsidRPr="00807A92">
        <w:rPr>
          <w:rFonts w:ascii="Times New Roman" w:eastAsia="Times New Roman" w:hAnsi="Times New Roman" w:cs="Times New Roman"/>
          <w:i/>
          <w:iCs/>
          <w:sz w:val="24"/>
          <w:szCs w:val="24"/>
          <w:lang w:eastAsia="it-IT"/>
        </w:rPr>
        <w:t>acte éclairé</w:t>
      </w:r>
      <w:r w:rsidRPr="00807A92">
        <w:rPr>
          <w:rFonts w:ascii="Times New Roman" w:eastAsia="Times New Roman" w:hAnsi="Times New Roman" w:cs="Times New Roman"/>
          <w:sz w:val="24"/>
          <w:szCs w:val="24"/>
          <w:lang w:eastAsia="it-IT"/>
        </w:rPr>
        <w:t xml:space="preserve">: the existence of a precedent. By contrast, the first exception (confirmation of the relevance of the question) is concerned exclusively with the specific case. Most importantly, the </w:t>
      </w:r>
      <w:r w:rsidRPr="00807A92">
        <w:rPr>
          <w:rFonts w:ascii="Times New Roman" w:eastAsia="Times New Roman" w:hAnsi="Times New Roman" w:cs="Times New Roman"/>
          <w:i/>
          <w:iCs/>
          <w:sz w:val="24"/>
          <w:szCs w:val="24"/>
          <w:lang w:eastAsia="it-IT"/>
        </w:rPr>
        <w:t>acte clair</w:t>
      </w:r>
      <w:r w:rsidRPr="00807A92">
        <w:rPr>
          <w:rFonts w:ascii="Times New Roman" w:eastAsia="Times New Roman" w:hAnsi="Times New Roman" w:cs="Times New Roman"/>
          <w:sz w:val="24"/>
          <w:szCs w:val="24"/>
          <w:lang w:eastAsia="it-IT"/>
        </w:rPr>
        <w:t xml:space="preserve"> exception is conceived of as a strange combination of elements relating to the individual case, some of which are objective and general, but most of which are subjective.</w:t>
      </w:r>
    </w:p>
    <w:p w14:paraId="6E6E3F1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61" w:name="point93"/>
      <w:r w:rsidRPr="00807A92">
        <w:rPr>
          <w:rFonts w:ascii="Times New Roman" w:eastAsia="Times New Roman" w:hAnsi="Times New Roman" w:cs="Times New Roman"/>
          <w:sz w:val="24"/>
          <w:szCs w:val="24"/>
          <w:lang w:eastAsia="it-IT"/>
        </w:rPr>
        <w:t>93.</w:t>
      </w:r>
      <w:bookmarkEnd w:id="161"/>
      <w:r w:rsidRPr="00807A92">
        <w:rPr>
          <w:rFonts w:ascii="Times New Roman" w:eastAsia="Times New Roman" w:hAnsi="Times New Roman" w:cs="Times New Roman"/>
          <w:sz w:val="24"/>
          <w:szCs w:val="24"/>
          <w:lang w:eastAsia="it-IT"/>
        </w:rPr>
        <w:t xml:space="preserve">      In my view, that is where the real problem lies. One would normally expect the exceptions to a duty to mirror the overall logic and purpose of that duty. In a way, they should represent the other side of the same proverbial coin. However, the exceptions are effectively detached from the duty they are supposed to be bringing about. Indeed, while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proclaimed that it wished to follow </w:t>
      </w:r>
      <w:r w:rsidRPr="00807A92">
        <w:rPr>
          <w:rFonts w:ascii="Times New Roman" w:eastAsia="Times New Roman" w:hAnsi="Times New Roman" w:cs="Times New Roman"/>
          <w:sz w:val="24"/>
          <w:szCs w:val="24"/>
          <w:lang w:eastAsia="it-IT"/>
        </w:rPr>
        <w:lastRenderedPageBreak/>
        <w:t xml:space="preserve">the </w:t>
      </w:r>
      <w:r w:rsidRPr="00807A92">
        <w:rPr>
          <w:rFonts w:ascii="Times New Roman" w:eastAsia="Times New Roman" w:hAnsi="Times New Roman" w:cs="Times New Roman"/>
          <w:i/>
          <w:iCs/>
          <w:sz w:val="24"/>
          <w:szCs w:val="24"/>
          <w:lang w:eastAsia="it-IT"/>
        </w:rPr>
        <w:t>Hoffmann-Laroche</w:t>
      </w:r>
      <w:r w:rsidRPr="00807A92">
        <w:rPr>
          <w:rFonts w:ascii="Times New Roman" w:eastAsia="Times New Roman" w:hAnsi="Times New Roman" w:cs="Times New Roman"/>
          <w:sz w:val="24"/>
          <w:szCs w:val="24"/>
          <w:lang w:eastAsia="it-IT"/>
        </w:rPr>
        <w:t xml:space="preserve"> objectives, (</w:t>
      </w:r>
      <w:bookmarkStart w:id="162" w:name="Footref69"/>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"Footnote69"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69</w:t>
      </w:r>
      <w:r w:rsidRPr="00807A92">
        <w:rPr>
          <w:rFonts w:ascii="Times New Roman" w:eastAsia="Times New Roman" w:hAnsi="Times New Roman" w:cs="Times New Roman"/>
          <w:sz w:val="24"/>
          <w:szCs w:val="24"/>
          <w:lang w:eastAsia="it-IT"/>
        </w:rPr>
        <w:fldChar w:fldCharType="end"/>
      </w:r>
      <w:bookmarkEnd w:id="162"/>
      <w:r w:rsidRPr="00807A92">
        <w:rPr>
          <w:rFonts w:ascii="Times New Roman" w:eastAsia="Times New Roman" w:hAnsi="Times New Roman" w:cs="Times New Roman"/>
          <w:sz w:val="24"/>
          <w:szCs w:val="24"/>
          <w:lang w:eastAsia="it-IT"/>
        </w:rPr>
        <w:t xml:space="preserve">) it nevertheless construed the exceptions around a very different logic. </w:t>
      </w:r>
    </w:p>
    <w:p w14:paraId="1676CD3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63" w:name="point94"/>
      <w:r w:rsidRPr="00807A92">
        <w:rPr>
          <w:rFonts w:ascii="Times New Roman" w:eastAsia="Times New Roman" w:hAnsi="Times New Roman" w:cs="Times New Roman"/>
          <w:sz w:val="24"/>
          <w:szCs w:val="24"/>
          <w:lang w:eastAsia="it-IT"/>
        </w:rPr>
        <w:t>94.</w:t>
      </w:r>
      <w:bookmarkEnd w:id="163"/>
      <w:r w:rsidRPr="00807A92">
        <w:rPr>
          <w:rFonts w:ascii="Times New Roman" w:eastAsia="Times New Roman" w:hAnsi="Times New Roman" w:cs="Times New Roman"/>
          <w:sz w:val="24"/>
          <w:szCs w:val="24"/>
          <w:lang w:eastAsia="it-IT"/>
        </w:rPr>
        <w:t>      Second, and as a side note, the genealogy of the third exception (</w:t>
      </w:r>
      <w:r w:rsidRPr="00807A92">
        <w:rPr>
          <w:rFonts w:ascii="Times New Roman" w:eastAsia="Times New Roman" w:hAnsi="Times New Roman" w:cs="Times New Roman"/>
          <w:i/>
          <w:iCs/>
          <w:sz w:val="24"/>
          <w:szCs w:val="24"/>
          <w:lang w:eastAsia="it-IT"/>
        </w:rPr>
        <w:t>acte clair</w:t>
      </w:r>
      <w:r w:rsidRPr="00807A92">
        <w:rPr>
          <w:rFonts w:ascii="Times New Roman" w:eastAsia="Times New Roman" w:hAnsi="Times New Roman" w:cs="Times New Roman"/>
          <w:sz w:val="24"/>
          <w:szCs w:val="24"/>
          <w:lang w:eastAsia="it-IT"/>
        </w:rPr>
        <w:t xml:space="preserve">), appears to confirm the doubts relating to the systemic appropriateness of that distinct legal transplant. In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the Court essentially took the defendant’s argument, and apparently that of the referring court as well, and made it its own: the interpretation of the regulation at issue was ‘so obvious as to rule out the possibility of there being any interpretative doubt, [thereby obviating] the need to refer the matter to the Court’. (</w:t>
      </w:r>
      <w:bookmarkStart w:id="164" w:name="Footref70"/>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"Footnote70"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70</w:t>
      </w:r>
      <w:r w:rsidRPr="00807A92">
        <w:rPr>
          <w:rFonts w:ascii="Times New Roman" w:eastAsia="Times New Roman" w:hAnsi="Times New Roman" w:cs="Times New Roman"/>
          <w:sz w:val="24"/>
          <w:szCs w:val="24"/>
          <w:lang w:eastAsia="it-IT"/>
        </w:rPr>
        <w:fldChar w:fldCharType="end"/>
      </w:r>
      <w:bookmarkEnd w:id="164"/>
      <w:r w:rsidRPr="00807A92">
        <w:rPr>
          <w:rFonts w:ascii="Times New Roman" w:eastAsia="Times New Roman" w:hAnsi="Times New Roman" w:cs="Times New Roman"/>
          <w:sz w:val="24"/>
          <w:szCs w:val="24"/>
          <w:lang w:eastAsia="it-IT"/>
        </w:rPr>
        <w:t>) In its judgment, the Court largely endorsed that approach, although qualifying it slightly by adding ‘reasonable’ to characterise the type of interpretive doubt.</w:t>
      </w:r>
    </w:p>
    <w:p w14:paraId="66AA8C1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65" w:name="point95"/>
      <w:r w:rsidRPr="00807A92">
        <w:rPr>
          <w:rFonts w:ascii="Times New Roman" w:eastAsia="Times New Roman" w:hAnsi="Times New Roman" w:cs="Times New Roman"/>
          <w:sz w:val="24"/>
          <w:szCs w:val="24"/>
          <w:lang w:eastAsia="it-IT"/>
        </w:rPr>
        <w:t>95.</w:t>
      </w:r>
      <w:bookmarkEnd w:id="165"/>
      <w:r w:rsidRPr="00807A92">
        <w:rPr>
          <w:rFonts w:ascii="Times New Roman" w:eastAsia="Times New Roman" w:hAnsi="Times New Roman" w:cs="Times New Roman"/>
          <w:sz w:val="24"/>
          <w:szCs w:val="24"/>
          <w:lang w:eastAsia="it-IT"/>
        </w:rPr>
        <w:t xml:space="preserve">      The fact that that exception arose in the context of a particular dispute is in itself unproblematic. The more questionable element is the transplantability of what was a distinctively French doctrine, crafted in a very different context for a different purpose, into a </w:t>
      </w:r>
      <w:r w:rsidRPr="00807A92">
        <w:rPr>
          <w:rFonts w:ascii="Times New Roman" w:eastAsia="Times New Roman" w:hAnsi="Times New Roman" w:cs="Times New Roman"/>
          <w:i/>
          <w:iCs/>
          <w:sz w:val="24"/>
          <w:szCs w:val="24"/>
          <w:lang w:eastAsia="it-IT"/>
        </w:rPr>
        <w:t xml:space="preserve">sui generis </w:t>
      </w:r>
      <w:r w:rsidRPr="00807A92">
        <w:rPr>
          <w:rFonts w:ascii="Times New Roman" w:eastAsia="Times New Roman" w:hAnsi="Times New Roman" w:cs="Times New Roman"/>
          <w:sz w:val="24"/>
          <w:szCs w:val="24"/>
          <w:lang w:eastAsia="it-IT"/>
        </w:rPr>
        <w:t>EU</w:t>
      </w:r>
      <w:r w:rsidRPr="00807A92">
        <w:rPr>
          <w:rFonts w:ascii="Times New Roman" w:eastAsia="Times New Roman" w:hAnsi="Times New Roman" w:cs="Times New Roman"/>
          <w:i/>
          <w:iCs/>
          <w:sz w:val="24"/>
          <w:szCs w:val="24"/>
          <w:lang w:eastAsia="it-IT"/>
        </w:rPr>
        <w:t>-</w:t>
      </w:r>
      <w:r w:rsidRPr="00807A92">
        <w:rPr>
          <w:rFonts w:ascii="Times New Roman" w:eastAsia="Times New Roman" w:hAnsi="Times New Roman" w:cs="Times New Roman"/>
          <w:sz w:val="24"/>
          <w:szCs w:val="24"/>
          <w:lang w:eastAsia="it-IT"/>
        </w:rPr>
        <w:t>type of proceedings. (</w:t>
      </w:r>
      <w:bookmarkStart w:id="166" w:name="Footref71"/>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"Footnote71"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71</w:t>
      </w:r>
      <w:r w:rsidRPr="00807A92">
        <w:rPr>
          <w:rFonts w:ascii="Times New Roman" w:eastAsia="Times New Roman" w:hAnsi="Times New Roman" w:cs="Times New Roman"/>
          <w:sz w:val="24"/>
          <w:szCs w:val="24"/>
          <w:lang w:eastAsia="it-IT"/>
        </w:rPr>
        <w:fldChar w:fldCharType="end"/>
      </w:r>
      <w:bookmarkEnd w:id="166"/>
      <w:r w:rsidRPr="00807A92">
        <w:rPr>
          <w:rFonts w:ascii="Times New Roman" w:eastAsia="Times New Roman" w:hAnsi="Times New Roman" w:cs="Times New Roman"/>
          <w:sz w:val="24"/>
          <w:szCs w:val="24"/>
          <w:lang w:eastAsia="it-IT"/>
        </w:rPr>
        <w:t>) What became known as the ‘acte clair theory’ was applied in French law in different contexts, in particular in cases involving the interpretation of treaties. While it was in principle for the Minister for Foreign Affairs alone to interpret the treaties (the national courts being merely entrusted with applying that interpretation to the case), the French courts relied on that theory to strengthen judicial interpretive powers to the detriment of those of the executive. (</w:t>
      </w:r>
      <w:bookmarkStart w:id="167" w:name="Footref72"/>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"Footnote72"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72</w:t>
      </w:r>
      <w:r w:rsidRPr="00807A92">
        <w:rPr>
          <w:rFonts w:ascii="Times New Roman" w:eastAsia="Times New Roman" w:hAnsi="Times New Roman" w:cs="Times New Roman"/>
          <w:sz w:val="24"/>
          <w:szCs w:val="24"/>
          <w:lang w:eastAsia="it-IT"/>
        </w:rPr>
        <w:fldChar w:fldCharType="end"/>
      </w:r>
      <w:bookmarkEnd w:id="167"/>
      <w:r w:rsidRPr="00807A92">
        <w:rPr>
          <w:rFonts w:ascii="Times New Roman" w:eastAsia="Times New Roman" w:hAnsi="Times New Roman" w:cs="Times New Roman"/>
          <w:sz w:val="24"/>
          <w:szCs w:val="24"/>
          <w:lang w:eastAsia="it-IT"/>
        </w:rPr>
        <w:t>) From 1964, the Conseil d’État (Council of State, France) began to apply the theory, in the context of the duty to refer, in order to qualify the latter to its own benefit. (</w:t>
      </w:r>
      <w:bookmarkStart w:id="168" w:name="Footref73"/>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"Footnote73"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73</w:t>
      </w:r>
      <w:r w:rsidRPr="00807A92">
        <w:rPr>
          <w:rFonts w:ascii="Times New Roman" w:eastAsia="Times New Roman" w:hAnsi="Times New Roman" w:cs="Times New Roman"/>
          <w:sz w:val="24"/>
          <w:szCs w:val="24"/>
          <w:lang w:eastAsia="it-IT"/>
        </w:rPr>
        <w:fldChar w:fldCharType="end"/>
      </w:r>
      <w:bookmarkEnd w:id="168"/>
      <w:r w:rsidRPr="00807A92">
        <w:rPr>
          <w:rFonts w:ascii="Times New Roman" w:eastAsia="Times New Roman" w:hAnsi="Times New Roman" w:cs="Times New Roman"/>
          <w:sz w:val="24"/>
          <w:szCs w:val="24"/>
          <w:lang w:eastAsia="it-IT"/>
        </w:rPr>
        <w:t xml:space="preserve">) Presumably intending to bring the national use of the acte clair practice under control, the Court took as its own and transplanted into the EU legal order a device that had very different function in its system of origin. </w:t>
      </w:r>
    </w:p>
    <w:p w14:paraId="37CC5C0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69" w:name="point96"/>
      <w:r w:rsidRPr="00807A92">
        <w:rPr>
          <w:rFonts w:ascii="Times New Roman" w:eastAsia="Times New Roman" w:hAnsi="Times New Roman" w:cs="Times New Roman"/>
          <w:sz w:val="24"/>
          <w:szCs w:val="24"/>
          <w:lang w:eastAsia="it-IT"/>
        </w:rPr>
        <w:t>96.</w:t>
      </w:r>
      <w:bookmarkEnd w:id="169"/>
      <w:r w:rsidRPr="00807A92">
        <w:rPr>
          <w:rFonts w:ascii="Times New Roman" w:eastAsia="Times New Roman" w:hAnsi="Times New Roman" w:cs="Times New Roman"/>
          <w:sz w:val="24"/>
          <w:szCs w:val="24"/>
          <w:lang w:eastAsia="it-IT"/>
        </w:rPr>
        <w:t xml:space="preserve">      Third, even if one were to believe that such trans-functional legal transplants are indeed possible without endangering the health of the (recipient) patient, the fact remains that what had been transplanted into the (then Community) legal order had simply a different function.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exceptions, in particular the </w:t>
      </w:r>
      <w:r w:rsidRPr="00807A92">
        <w:rPr>
          <w:rFonts w:ascii="Times New Roman" w:eastAsia="Times New Roman" w:hAnsi="Times New Roman" w:cs="Times New Roman"/>
          <w:i/>
          <w:iCs/>
          <w:sz w:val="24"/>
          <w:szCs w:val="24"/>
          <w:lang w:eastAsia="it-IT"/>
        </w:rPr>
        <w:t xml:space="preserve">acte clair </w:t>
      </w:r>
      <w:r w:rsidRPr="00807A92">
        <w:rPr>
          <w:rFonts w:ascii="Times New Roman" w:eastAsia="Times New Roman" w:hAnsi="Times New Roman" w:cs="Times New Roman"/>
          <w:sz w:val="24"/>
          <w:szCs w:val="24"/>
          <w:lang w:eastAsia="it-IT"/>
        </w:rPr>
        <w:t xml:space="preserve">exception, remained centred around the absence of any reasonable doubt as to the </w:t>
      </w:r>
      <w:r w:rsidRPr="00807A92">
        <w:rPr>
          <w:rFonts w:ascii="Times New Roman" w:eastAsia="Times New Roman" w:hAnsi="Times New Roman" w:cs="Times New Roman"/>
          <w:i/>
          <w:iCs/>
          <w:sz w:val="24"/>
          <w:szCs w:val="24"/>
          <w:lang w:eastAsia="it-IT"/>
        </w:rPr>
        <w:t>outcome of an individual</w:t>
      </w:r>
      <w:r w:rsidRPr="00807A92">
        <w:rPr>
          <w:rFonts w:ascii="Times New Roman" w:eastAsia="Times New Roman" w:hAnsi="Times New Roman" w:cs="Times New Roman"/>
          <w:sz w:val="24"/>
          <w:szCs w:val="24"/>
          <w:lang w:eastAsia="it-IT"/>
        </w:rPr>
        <w:t xml:space="preserve"> case. The language remained one of correct interpretation and application of EU law in the specific case. </w:t>
      </w:r>
    </w:p>
    <w:p w14:paraId="35F2D84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70" w:name="point97"/>
      <w:r w:rsidRPr="00807A92">
        <w:rPr>
          <w:rFonts w:ascii="Times New Roman" w:eastAsia="Times New Roman" w:hAnsi="Times New Roman" w:cs="Times New Roman"/>
          <w:sz w:val="24"/>
          <w:szCs w:val="24"/>
          <w:lang w:eastAsia="it-IT"/>
        </w:rPr>
        <w:t>97.</w:t>
      </w:r>
      <w:bookmarkEnd w:id="170"/>
      <w:r w:rsidRPr="00807A92">
        <w:rPr>
          <w:rFonts w:ascii="Times New Roman" w:eastAsia="Times New Roman" w:hAnsi="Times New Roman" w:cs="Times New Roman"/>
          <w:sz w:val="24"/>
          <w:szCs w:val="24"/>
          <w:lang w:eastAsia="it-IT"/>
        </w:rPr>
        <w:t xml:space="preserve">      However, a requirement to check the correct application of the law in each individual case is a very tall order. That ideal is very difficult to achieve even in national systems that are </w:t>
      </w:r>
      <w:r w:rsidRPr="00807A92">
        <w:rPr>
          <w:rFonts w:ascii="Times New Roman" w:eastAsia="Times New Roman" w:hAnsi="Times New Roman" w:cs="Times New Roman"/>
          <w:i/>
          <w:iCs/>
          <w:sz w:val="24"/>
          <w:szCs w:val="24"/>
          <w:lang w:eastAsia="it-IT"/>
        </w:rPr>
        <w:t>hierarchical</w:t>
      </w:r>
      <w:r w:rsidRPr="00807A92">
        <w:rPr>
          <w:rFonts w:ascii="Times New Roman" w:eastAsia="Times New Roman" w:hAnsi="Times New Roman" w:cs="Times New Roman"/>
          <w:sz w:val="24"/>
          <w:szCs w:val="24"/>
          <w:lang w:eastAsia="it-IT"/>
        </w:rPr>
        <w:t xml:space="preserve"> in nature, relying on extensive individual monitoring of the correctness of individual decisions, and within which superior courts review thousands or rather tens of thousands of decisions annually. However, such an ideal and systemic logic is alien to more </w:t>
      </w:r>
      <w:r w:rsidRPr="00807A92">
        <w:rPr>
          <w:rFonts w:ascii="Times New Roman" w:eastAsia="Times New Roman" w:hAnsi="Times New Roman" w:cs="Times New Roman"/>
          <w:i/>
          <w:iCs/>
          <w:sz w:val="24"/>
          <w:szCs w:val="24"/>
          <w:lang w:eastAsia="it-IT"/>
        </w:rPr>
        <w:t>coordinated</w:t>
      </w:r>
      <w:r w:rsidRPr="00807A92">
        <w:rPr>
          <w:rFonts w:ascii="Times New Roman" w:eastAsia="Times New Roman" w:hAnsi="Times New Roman" w:cs="Times New Roman"/>
          <w:sz w:val="24"/>
          <w:szCs w:val="24"/>
          <w:lang w:eastAsia="it-IT"/>
        </w:rPr>
        <w:t xml:space="preserve"> systems of judicial governance, that rely extensively on the force of precedents, and within which a single precedent may carry weight. (</w:t>
      </w:r>
      <w:bookmarkStart w:id="171" w:name="Footref74"/>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"Footnote74"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74</w:t>
      </w:r>
      <w:r w:rsidRPr="00807A92">
        <w:rPr>
          <w:rFonts w:ascii="Times New Roman" w:eastAsia="Times New Roman" w:hAnsi="Times New Roman" w:cs="Times New Roman"/>
          <w:sz w:val="24"/>
          <w:szCs w:val="24"/>
          <w:lang w:eastAsia="it-IT"/>
        </w:rPr>
        <w:fldChar w:fldCharType="end"/>
      </w:r>
      <w:bookmarkEnd w:id="171"/>
      <w:r w:rsidRPr="00807A92">
        <w:rPr>
          <w:rFonts w:ascii="Times New Roman" w:eastAsia="Times New Roman" w:hAnsi="Times New Roman" w:cs="Times New Roman"/>
          <w:sz w:val="24"/>
          <w:szCs w:val="24"/>
          <w:lang w:eastAsia="it-IT"/>
        </w:rPr>
        <w:t>) In my view, it might be debated how close the present EU law judicial system is to the latter, coordinated ideal. But it is, certainly, worlds apart from the former, hierarchical model.</w:t>
      </w:r>
    </w:p>
    <w:p w14:paraId="405EDE1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72" w:name="point98"/>
      <w:r w:rsidRPr="00807A92">
        <w:rPr>
          <w:rFonts w:ascii="Times New Roman" w:eastAsia="Times New Roman" w:hAnsi="Times New Roman" w:cs="Times New Roman"/>
          <w:sz w:val="24"/>
          <w:szCs w:val="24"/>
          <w:lang w:eastAsia="it-IT"/>
        </w:rPr>
        <w:t>98.</w:t>
      </w:r>
      <w:bookmarkEnd w:id="172"/>
      <w:r w:rsidRPr="00807A92">
        <w:rPr>
          <w:rFonts w:ascii="Times New Roman" w:eastAsia="Times New Roman" w:hAnsi="Times New Roman" w:cs="Times New Roman"/>
          <w:sz w:val="24"/>
          <w:szCs w:val="24"/>
          <w:lang w:eastAsia="it-IT"/>
        </w:rPr>
        <w:t xml:space="preserve">      Finally,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exceptions to the duty to refer have the tendency of blurring the line between interpretation and application of EU law, underlining the correct division of tasks under Article 267 TFEU. If what must be established is that there is no reasonable doubt as to the correct application of EU law in a specific case in order for an exception to the duty to refer to be triggered, where then, at least approximately, does the boundary between the tasks of this Court and that of the national courts lie?</w:t>
      </w:r>
    </w:p>
    <w:p w14:paraId="127A5C0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2.      </w:t>
      </w:r>
      <w:r w:rsidRPr="00807A92">
        <w:rPr>
          <w:rFonts w:ascii="Times New Roman" w:eastAsia="Times New Roman" w:hAnsi="Times New Roman" w:cs="Times New Roman"/>
          <w:b/>
          <w:bCs/>
          <w:i/>
          <w:iCs/>
          <w:sz w:val="24"/>
          <w:szCs w:val="24"/>
          <w:lang w:eastAsia="it-IT"/>
        </w:rPr>
        <w:t>Feasibility</w:t>
      </w:r>
    </w:p>
    <w:p w14:paraId="7B29BD0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73" w:name="point99"/>
      <w:r w:rsidRPr="00807A92">
        <w:rPr>
          <w:rFonts w:ascii="Times New Roman" w:eastAsia="Times New Roman" w:hAnsi="Times New Roman" w:cs="Times New Roman"/>
          <w:sz w:val="24"/>
          <w:szCs w:val="24"/>
          <w:lang w:eastAsia="it-IT"/>
        </w:rPr>
        <w:lastRenderedPageBreak/>
        <w:t>99.</w:t>
      </w:r>
      <w:bookmarkEnd w:id="173"/>
      <w:r w:rsidRPr="00807A92">
        <w:rPr>
          <w:rFonts w:ascii="Times New Roman" w:eastAsia="Times New Roman" w:hAnsi="Times New Roman" w:cs="Times New Roman"/>
          <w:sz w:val="24"/>
          <w:szCs w:val="24"/>
          <w:lang w:eastAsia="it-IT"/>
        </w:rPr>
        <w:t xml:space="preserve">      There is no need to rekindle the debate on whether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criteria, in particular those relating to there being no reasonable doubt as to the correct interpretation and application of EU law in a specific case (the </w:t>
      </w:r>
      <w:r w:rsidRPr="00807A92">
        <w:rPr>
          <w:rFonts w:ascii="Times New Roman" w:eastAsia="Times New Roman" w:hAnsi="Times New Roman" w:cs="Times New Roman"/>
          <w:i/>
          <w:iCs/>
          <w:sz w:val="24"/>
          <w:szCs w:val="24"/>
          <w:lang w:eastAsia="it-IT"/>
        </w:rPr>
        <w:t>acte clair</w:t>
      </w:r>
      <w:r w:rsidRPr="00807A92">
        <w:rPr>
          <w:rFonts w:ascii="Times New Roman" w:eastAsia="Times New Roman" w:hAnsi="Times New Roman" w:cs="Times New Roman"/>
          <w:sz w:val="24"/>
          <w:szCs w:val="24"/>
          <w:lang w:eastAsia="it-IT"/>
        </w:rPr>
        <w:t xml:space="preserve"> exception), amount to a checklist or are simply a tool kit. The fact is that they do not work either way. If they are a checklist, then it is impossible to complete that checklist. If they are a tool kit, then the problem inherently becomes one of selectivity as to which tool should be used in an individual case. The latter problem then becomes evidently serious at the stage of potential enforcement of the duty to refer: if there are no clear criteria, how could that duty ever be enforced without that enforcement being arbitrary? </w:t>
      </w:r>
    </w:p>
    <w:p w14:paraId="0B44B33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74" w:name="point100"/>
      <w:r w:rsidRPr="00807A92">
        <w:rPr>
          <w:rFonts w:ascii="Times New Roman" w:eastAsia="Times New Roman" w:hAnsi="Times New Roman" w:cs="Times New Roman"/>
          <w:sz w:val="24"/>
          <w:szCs w:val="24"/>
          <w:lang w:eastAsia="it-IT"/>
        </w:rPr>
        <w:t>100.</w:t>
      </w:r>
      <w:bookmarkEnd w:id="174"/>
      <w:r w:rsidRPr="00807A92">
        <w:rPr>
          <w:rFonts w:ascii="Times New Roman" w:eastAsia="Times New Roman" w:hAnsi="Times New Roman" w:cs="Times New Roman"/>
          <w:sz w:val="24"/>
          <w:szCs w:val="24"/>
          <w:lang w:eastAsia="it-IT"/>
        </w:rPr>
        <w:t> A number of Advocates General have commented on the lack of feasibility of the criteria in the past. Moreover, what is also intriguing is the absence of application of those criteria by the national courts and the European Court of Human Rights (‘the ECtHR’), including the courts that are in fact enforcing the duty to make a reference.</w:t>
      </w:r>
    </w:p>
    <w:p w14:paraId="659D304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75" w:name="point101"/>
      <w:r w:rsidRPr="00807A92">
        <w:rPr>
          <w:rFonts w:ascii="Times New Roman" w:eastAsia="Times New Roman" w:hAnsi="Times New Roman" w:cs="Times New Roman"/>
          <w:sz w:val="24"/>
          <w:szCs w:val="24"/>
          <w:lang w:eastAsia="it-IT"/>
        </w:rPr>
        <w:t>101.</w:t>
      </w:r>
      <w:bookmarkEnd w:id="175"/>
      <w:r w:rsidRPr="00807A92">
        <w:rPr>
          <w:rFonts w:ascii="Times New Roman" w:eastAsia="Times New Roman" w:hAnsi="Times New Roman" w:cs="Times New Roman"/>
          <w:sz w:val="24"/>
          <w:szCs w:val="24"/>
          <w:lang w:eastAsia="it-IT"/>
        </w:rPr>
        <w:t xml:space="preserve"> First, starting famously with Advocates General Jacobs’ hesitations with regard to certain women’s garments and their classification as pyjamas for customs purposes, a number of my learned predecessors have criticised the practical difficulties associated with the </w:t>
      </w:r>
      <w:r w:rsidRPr="00807A92">
        <w:rPr>
          <w:rFonts w:ascii="Times New Roman" w:eastAsia="Times New Roman" w:hAnsi="Times New Roman" w:cs="Times New Roman"/>
          <w:i/>
          <w:iCs/>
          <w:sz w:val="24"/>
          <w:szCs w:val="24"/>
          <w:lang w:eastAsia="it-IT"/>
        </w:rPr>
        <w:t>acte clair</w:t>
      </w:r>
      <w:r w:rsidRPr="00807A92">
        <w:rPr>
          <w:rFonts w:ascii="Times New Roman" w:eastAsia="Times New Roman" w:hAnsi="Times New Roman" w:cs="Times New Roman"/>
          <w:sz w:val="24"/>
          <w:szCs w:val="24"/>
          <w:lang w:eastAsia="it-IT"/>
        </w:rPr>
        <w:t xml:space="preserve"> exception. In </w:t>
      </w:r>
      <w:r w:rsidRPr="00807A92">
        <w:rPr>
          <w:rFonts w:ascii="Times New Roman" w:eastAsia="Times New Roman" w:hAnsi="Times New Roman" w:cs="Times New Roman"/>
          <w:i/>
          <w:iCs/>
          <w:sz w:val="24"/>
          <w:szCs w:val="24"/>
          <w:lang w:eastAsia="it-IT"/>
        </w:rPr>
        <w:t>Wiener</w:t>
      </w:r>
      <w:r w:rsidRPr="00807A92">
        <w:rPr>
          <w:rFonts w:ascii="Times New Roman" w:eastAsia="Times New Roman" w:hAnsi="Times New Roman" w:cs="Times New Roman"/>
          <w:sz w:val="24"/>
          <w:szCs w:val="24"/>
          <w:lang w:eastAsia="it-IT"/>
        </w:rPr>
        <w:t>, Advocate General Jacobs rejected the view that ‘the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judgment should be regarded as requiring the national courts to examine any Community measure in every one of the official Community languages … That would involve in many cases a disproportionate effort on the part of the national courts’, noting that it would be rather strange to require national courts to have recourse to a method ‘which appears rarely to be applied by the Court of Justice itself’. (</w:t>
      </w:r>
      <w:bookmarkStart w:id="176" w:name="Footref75"/>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"Footnote75"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75</w:t>
      </w:r>
      <w:r w:rsidRPr="00807A92">
        <w:rPr>
          <w:rFonts w:ascii="Times New Roman" w:eastAsia="Times New Roman" w:hAnsi="Times New Roman" w:cs="Times New Roman"/>
          <w:sz w:val="24"/>
          <w:szCs w:val="24"/>
          <w:lang w:eastAsia="it-IT"/>
        </w:rPr>
        <w:fldChar w:fldCharType="end"/>
      </w:r>
      <w:bookmarkEnd w:id="176"/>
      <w:r w:rsidRPr="00807A92">
        <w:rPr>
          <w:rFonts w:ascii="Times New Roman" w:eastAsia="Times New Roman" w:hAnsi="Times New Roman" w:cs="Times New Roman"/>
          <w:sz w:val="24"/>
          <w:szCs w:val="24"/>
          <w:lang w:eastAsia="it-IT"/>
        </w:rPr>
        <w:t>) He also pointed out that ‘if the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judgment were applied strictly, then every question of Community law … would have to be referred by all courts of last instance’. (</w:t>
      </w:r>
      <w:bookmarkStart w:id="177" w:name="Footref76"/>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"Footnote76"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76</w:t>
      </w:r>
      <w:r w:rsidRPr="00807A92">
        <w:rPr>
          <w:rFonts w:ascii="Times New Roman" w:eastAsia="Times New Roman" w:hAnsi="Times New Roman" w:cs="Times New Roman"/>
          <w:sz w:val="24"/>
          <w:szCs w:val="24"/>
          <w:lang w:eastAsia="it-IT"/>
        </w:rPr>
        <w:fldChar w:fldCharType="end"/>
      </w:r>
      <w:bookmarkEnd w:id="177"/>
      <w:r w:rsidRPr="00807A92">
        <w:rPr>
          <w:rFonts w:ascii="Times New Roman" w:eastAsia="Times New Roman" w:hAnsi="Times New Roman" w:cs="Times New Roman"/>
          <w:sz w:val="24"/>
          <w:szCs w:val="24"/>
          <w:lang w:eastAsia="it-IT"/>
        </w:rPr>
        <w:t>)</w:t>
      </w:r>
    </w:p>
    <w:p w14:paraId="5A5317E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78" w:name="point102"/>
      <w:r w:rsidRPr="00807A92">
        <w:rPr>
          <w:rFonts w:ascii="Times New Roman" w:eastAsia="Times New Roman" w:hAnsi="Times New Roman" w:cs="Times New Roman"/>
          <w:sz w:val="24"/>
          <w:szCs w:val="24"/>
          <w:lang w:eastAsia="it-IT"/>
        </w:rPr>
        <w:t>102.</w:t>
      </w:r>
      <w:bookmarkEnd w:id="178"/>
      <w:r w:rsidRPr="00807A92">
        <w:rPr>
          <w:rFonts w:ascii="Times New Roman" w:eastAsia="Times New Roman" w:hAnsi="Times New Roman" w:cs="Times New Roman"/>
          <w:sz w:val="24"/>
          <w:szCs w:val="24"/>
          <w:lang w:eastAsia="it-IT"/>
        </w:rPr>
        <w:t xml:space="preserve"> In her Opinion in </w:t>
      </w:r>
      <w:r w:rsidRPr="00807A92">
        <w:rPr>
          <w:rFonts w:ascii="Times New Roman" w:eastAsia="Times New Roman" w:hAnsi="Times New Roman" w:cs="Times New Roman"/>
          <w:i/>
          <w:iCs/>
          <w:sz w:val="24"/>
          <w:szCs w:val="24"/>
          <w:lang w:eastAsia="it-IT"/>
        </w:rPr>
        <w:t>Intermodal Transports</w:t>
      </w:r>
      <w:r w:rsidRPr="00807A92">
        <w:rPr>
          <w:rFonts w:ascii="Times New Roman" w:eastAsia="Times New Roman" w:hAnsi="Times New Roman" w:cs="Times New Roman"/>
          <w:sz w:val="24"/>
          <w:szCs w:val="24"/>
          <w:lang w:eastAsia="it-IT"/>
        </w:rPr>
        <w:t>, Advocate General Stix-Hackl held that requiring national courts to examine a provision of the then Community law in every one of the official Community languages ‘would place a practically intolerable burden on the national courts’. (</w:t>
      </w:r>
      <w:bookmarkStart w:id="179" w:name="Footref77"/>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"Footnote77"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77</w:t>
      </w:r>
      <w:r w:rsidRPr="00807A92">
        <w:rPr>
          <w:rFonts w:ascii="Times New Roman" w:eastAsia="Times New Roman" w:hAnsi="Times New Roman" w:cs="Times New Roman"/>
          <w:sz w:val="24"/>
          <w:szCs w:val="24"/>
          <w:lang w:eastAsia="it-IT"/>
        </w:rPr>
        <w:fldChar w:fldCharType="end"/>
      </w:r>
      <w:bookmarkEnd w:id="179"/>
      <w:r w:rsidRPr="00807A92">
        <w:rPr>
          <w:rFonts w:ascii="Times New Roman" w:eastAsia="Times New Roman" w:hAnsi="Times New Roman" w:cs="Times New Roman"/>
          <w:sz w:val="24"/>
          <w:szCs w:val="24"/>
          <w:lang w:eastAsia="it-IT"/>
        </w:rPr>
        <w:t xml:space="preserve">) In her view, </w:t>
      </w:r>
      <w:r w:rsidRPr="00807A92">
        <w:rPr>
          <w:rFonts w:ascii="Times New Roman" w:eastAsia="Times New Roman" w:hAnsi="Times New Roman" w:cs="Times New Roman"/>
          <w:i/>
          <w:iCs/>
          <w:sz w:val="24"/>
          <w:szCs w:val="24"/>
          <w:lang w:eastAsia="it-IT"/>
        </w:rPr>
        <w:t xml:space="preserve">the CILFIT </w:t>
      </w:r>
      <w:r w:rsidRPr="00807A92">
        <w:rPr>
          <w:rFonts w:ascii="Times New Roman" w:eastAsia="Times New Roman" w:hAnsi="Times New Roman" w:cs="Times New Roman"/>
          <w:sz w:val="24"/>
          <w:szCs w:val="24"/>
          <w:lang w:eastAsia="it-IT"/>
        </w:rPr>
        <w:t>criteria cannot be used as ‘a type of instruction manual … which is to be rigidly adhered to’. (</w:t>
      </w:r>
      <w:bookmarkStart w:id="180" w:name="Footref78"/>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"Footnote78"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78</w:t>
      </w:r>
      <w:r w:rsidRPr="00807A92">
        <w:rPr>
          <w:rFonts w:ascii="Times New Roman" w:eastAsia="Times New Roman" w:hAnsi="Times New Roman" w:cs="Times New Roman"/>
          <w:sz w:val="24"/>
          <w:szCs w:val="24"/>
          <w:lang w:eastAsia="it-IT"/>
        </w:rPr>
        <w:fldChar w:fldCharType="end"/>
      </w:r>
      <w:bookmarkEnd w:id="180"/>
      <w:r w:rsidRPr="00807A92">
        <w:rPr>
          <w:rFonts w:ascii="Times New Roman" w:eastAsia="Times New Roman" w:hAnsi="Times New Roman" w:cs="Times New Roman"/>
          <w:sz w:val="24"/>
          <w:szCs w:val="24"/>
          <w:lang w:eastAsia="it-IT"/>
        </w:rPr>
        <w:t xml:space="preserve">) In his Opinion in </w:t>
      </w:r>
      <w:r w:rsidRPr="00807A92">
        <w:rPr>
          <w:rFonts w:ascii="Times New Roman" w:eastAsia="Times New Roman" w:hAnsi="Times New Roman" w:cs="Times New Roman"/>
          <w:i/>
          <w:iCs/>
          <w:sz w:val="24"/>
          <w:szCs w:val="24"/>
          <w:lang w:eastAsia="it-IT"/>
        </w:rPr>
        <w:t>Gaston Schul</w:t>
      </w:r>
      <w:r w:rsidRPr="00807A92">
        <w:rPr>
          <w:rFonts w:ascii="Times New Roman" w:eastAsia="Times New Roman" w:hAnsi="Times New Roman" w:cs="Times New Roman"/>
          <w:sz w:val="24"/>
          <w:szCs w:val="24"/>
          <w:lang w:eastAsia="it-IT"/>
        </w:rPr>
        <w:t xml:space="preserve">, Advocate General Ruiz-Jarabo stressed the need to revisit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in its entirety, noting that ‘the proposed test was unviable at the time it was formulated, but, in the reality of 2005, it seems preposterous’. (</w:t>
      </w:r>
      <w:bookmarkStart w:id="181" w:name="Footref79"/>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"Footnote79"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79</w:t>
      </w:r>
      <w:r w:rsidRPr="00807A92">
        <w:rPr>
          <w:rFonts w:ascii="Times New Roman" w:eastAsia="Times New Roman" w:hAnsi="Times New Roman" w:cs="Times New Roman"/>
          <w:sz w:val="24"/>
          <w:szCs w:val="24"/>
          <w:lang w:eastAsia="it-IT"/>
        </w:rPr>
        <w:fldChar w:fldCharType="end"/>
      </w:r>
      <w:bookmarkEnd w:id="181"/>
      <w:r w:rsidRPr="00807A92">
        <w:rPr>
          <w:rFonts w:ascii="Times New Roman" w:eastAsia="Times New Roman" w:hAnsi="Times New Roman" w:cs="Times New Roman"/>
          <w:sz w:val="24"/>
          <w:szCs w:val="24"/>
          <w:lang w:eastAsia="it-IT"/>
        </w:rPr>
        <w:t xml:space="preserve">) In his Opinion in </w:t>
      </w:r>
      <w:r w:rsidRPr="00807A92">
        <w:rPr>
          <w:rFonts w:ascii="Times New Roman" w:eastAsia="Times New Roman" w:hAnsi="Times New Roman" w:cs="Times New Roman"/>
          <w:i/>
          <w:iCs/>
          <w:sz w:val="24"/>
          <w:szCs w:val="24"/>
          <w:lang w:eastAsia="it-IT"/>
        </w:rPr>
        <w:t>X and van Dijk</w:t>
      </w:r>
      <w:r w:rsidRPr="00807A92">
        <w:rPr>
          <w:rFonts w:ascii="Times New Roman" w:eastAsia="Times New Roman" w:hAnsi="Times New Roman" w:cs="Times New Roman"/>
          <w:sz w:val="24"/>
          <w:szCs w:val="24"/>
          <w:lang w:eastAsia="it-IT"/>
        </w:rPr>
        <w:t xml:space="preserve">, Advocate General Wahl sought to emphasise the importance of the inherent discretion national courts of last instance must have in assessing whether the duty to refer has arisen, suggesting that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criteria should be seen as a tool kit and concluding that ‘if a national court of last instance is sure enough of its own interpretation to take upon itself the responsibility (and possibly the blame) for resolving a point of EU law without the aid of the Court of Justice, it ought to be legally entitled to do so’. (</w:t>
      </w:r>
      <w:bookmarkStart w:id="182" w:name="Footref80"/>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"Footnote80"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80</w:t>
      </w:r>
      <w:r w:rsidRPr="00807A92">
        <w:rPr>
          <w:rFonts w:ascii="Times New Roman" w:eastAsia="Times New Roman" w:hAnsi="Times New Roman" w:cs="Times New Roman"/>
          <w:sz w:val="24"/>
          <w:szCs w:val="24"/>
          <w:lang w:eastAsia="it-IT"/>
        </w:rPr>
        <w:fldChar w:fldCharType="end"/>
      </w:r>
      <w:bookmarkEnd w:id="182"/>
      <w:r w:rsidRPr="00807A92">
        <w:rPr>
          <w:rFonts w:ascii="Times New Roman" w:eastAsia="Times New Roman" w:hAnsi="Times New Roman" w:cs="Times New Roman"/>
          <w:sz w:val="24"/>
          <w:szCs w:val="24"/>
          <w:lang w:eastAsia="it-IT"/>
        </w:rPr>
        <w:t>)</w:t>
      </w:r>
    </w:p>
    <w:p w14:paraId="40C98EA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83" w:name="point103"/>
      <w:r w:rsidRPr="00807A92">
        <w:rPr>
          <w:rFonts w:ascii="Times New Roman" w:eastAsia="Times New Roman" w:hAnsi="Times New Roman" w:cs="Times New Roman"/>
          <w:sz w:val="24"/>
          <w:szCs w:val="24"/>
          <w:lang w:eastAsia="it-IT"/>
        </w:rPr>
        <w:t>103.</w:t>
      </w:r>
      <w:bookmarkEnd w:id="183"/>
      <w:r w:rsidRPr="00807A92">
        <w:rPr>
          <w:rFonts w:ascii="Times New Roman" w:eastAsia="Times New Roman" w:hAnsi="Times New Roman" w:cs="Times New Roman"/>
          <w:sz w:val="24"/>
          <w:szCs w:val="24"/>
          <w:lang w:eastAsia="it-IT"/>
        </w:rPr>
        <w:t xml:space="preserve"> I do not think that there is any need to repeat the arguments already so eloquently made by the Advocates General quoted above, or to demonstrate why and how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criteria, if taken at face value one by one, are utterly unfeasible. Indeed, as pertinently and wittily put by Advocate General Wahl, ‘coming across a “true” </w:t>
      </w:r>
      <w:r w:rsidRPr="00807A92">
        <w:rPr>
          <w:rFonts w:ascii="Times New Roman" w:eastAsia="Times New Roman" w:hAnsi="Times New Roman" w:cs="Times New Roman"/>
          <w:i/>
          <w:iCs/>
          <w:sz w:val="24"/>
          <w:szCs w:val="24"/>
          <w:lang w:eastAsia="it-IT"/>
        </w:rPr>
        <w:t xml:space="preserve">acte clair </w:t>
      </w:r>
      <w:r w:rsidRPr="00807A92">
        <w:rPr>
          <w:rFonts w:ascii="Times New Roman" w:eastAsia="Times New Roman" w:hAnsi="Times New Roman" w:cs="Times New Roman"/>
          <w:sz w:val="24"/>
          <w:szCs w:val="24"/>
          <w:lang w:eastAsia="it-IT"/>
        </w:rPr>
        <w:t>situation would, at best, seem just as likely as encountering a unicorn’. (</w:t>
      </w:r>
      <w:bookmarkStart w:id="184" w:name="Footref81"/>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"Footnote81"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81</w:t>
      </w:r>
      <w:r w:rsidRPr="00807A92">
        <w:rPr>
          <w:rFonts w:ascii="Times New Roman" w:eastAsia="Times New Roman" w:hAnsi="Times New Roman" w:cs="Times New Roman"/>
          <w:sz w:val="24"/>
          <w:szCs w:val="24"/>
          <w:lang w:eastAsia="it-IT"/>
        </w:rPr>
        <w:fldChar w:fldCharType="end"/>
      </w:r>
      <w:bookmarkEnd w:id="184"/>
      <w:r w:rsidRPr="00807A92">
        <w:rPr>
          <w:rFonts w:ascii="Times New Roman" w:eastAsia="Times New Roman" w:hAnsi="Times New Roman" w:cs="Times New Roman"/>
          <w:sz w:val="24"/>
          <w:szCs w:val="24"/>
          <w:lang w:eastAsia="it-IT"/>
        </w:rPr>
        <w:t>)</w:t>
      </w:r>
    </w:p>
    <w:p w14:paraId="0F7369C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85" w:name="point104"/>
      <w:r w:rsidRPr="00807A92">
        <w:rPr>
          <w:rFonts w:ascii="Times New Roman" w:eastAsia="Times New Roman" w:hAnsi="Times New Roman" w:cs="Times New Roman"/>
          <w:sz w:val="24"/>
          <w:szCs w:val="24"/>
          <w:lang w:eastAsia="it-IT"/>
        </w:rPr>
        <w:t>104.</w:t>
      </w:r>
      <w:bookmarkEnd w:id="185"/>
      <w:r w:rsidRPr="00807A92">
        <w:rPr>
          <w:rFonts w:ascii="Times New Roman" w:eastAsia="Times New Roman" w:hAnsi="Times New Roman" w:cs="Times New Roman"/>
          <w:sz w:val="24"/>
          <w:szCs w:val="24"/>
          <w:lang w:eastAsia="it-IT"/>
        </w:rPr>
        <w:t xml:space="preserve"> Simply put,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criteria relating to the identification of the </w:t>
      </w:r>
      <w:r w:rsidRPr="00807A92">
        <w:rPr>
          <w:rFonts w:ascii="Times New Roman" w:eastAsia="Times New Roman" w:hAnsi="Times New Roman" w:cs="Times New Roman"/>
          <w:i/>
          <w:iCs/>
          <w:sz w:val="24"/>
          <w:szCs w:val="24"/>
          <w:lang w:eastAsia="it-IT"/>
        </w:rPr>
        <w:t>acte clair</w:t>
      </w:r>
      <w:r w:rsidRPr="00807A92">
        <w:rPr>
          <w:rFonts w:ascii="Times New Roman" w:eastAsia="Times New Roman" w:hAnsi="Times New Roman" w:cs="Times New Roman"/>
          <w:sz w:val="24"/>
          <w:szCs w:val="24"/>
          <w:lang w:eastAsia="it-IT"/>
        </w:rPr>
        <w:t xml:space="preserve"> exception are inescapably plagued by the conceptual problem already highlighted above. (</w:t>
      </w:r>
      <w:bookmarkStart w:id="186" w:name="Footref82"/>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"Footnote82"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82</w:t>
      </w:r>
      <w:r w:rsidRPr="00807A92">
        <w:rPr>
          <w:rFonts w:ascii="Times New Roman" w:eastAsia="Times New Roman" w:hAnsi="Times New Roman" w:cs="Times New Roman"/>
          <w:sz w:val="24"/>
          <w:szCs w:val="24"/>
          <w:lang w:eastAsia="it-IT"/>
        </w:rPr>
        <w:fldChar w:fldCharType="end"/>
      </w:r>
      <w:bookmarkEnd w:id="186"/>
      <w:r w:rsidRPr="00807A92">
        <w:rPr>
          <w:rFonts w:ascii="Times New Roman" w:eastAsia="Times New Roman" w:hAnsi="Times New Roman" w:cs="Times New Roman"/>
          <w:sz w:val="24"/>
          <w:szCs w:val="24"/>
          <w:lang w:eastAsia="it-IT"/>
        </w:rPr>
        <w:t xml:space="preserve">) On the one hand, there is a healthy portion of non-ascertainable and thus non-reviewable </w:t>
      </w:r>
      <w:r w:rsidRPr="00807A92">
        <w:rPr>
          <w:rFonts w:ascii="Times New Roman" w:eastAsia="Times New Roman" w:hAnsi="Times New Roman" w:cs="Times New Roman"/>
          <w:i/>
          <w:iCs/>
          <w:sz w:val="24"/>
          <w:szCs w:val="24"/>
          <w:lang w:eastAsia="it-IT"/>
        </w:rPr>
        <w:t>subjectivism</w:t>
      </w:r>
      <w:r w:rsidRPr="00807A92">
        <w:rPr>
          <w:rFonts w:ascii="Times New Roman" w:eastAsia="Times New Roman" w:hAnsi="Times New Roman" w:cs="Times New Roman"/>
          <w:sz w:val="24"/>
          <w:szCs w:val="24"/>
          <w:lang w:eastAsia="it-IT"/>
        </w:rPr>
        <w:t>: the national courts must be ‘convinced’ that the matter is not only ‘equally obvious to the courts of other Member States and to the Court of Justice’ but also ‘necessary for deciding a case’, and must have subjective ‘reasonable doubt’. On the other hand, those elements that are stated in</w:t>
      </w:r>
      <w:r w:rsidRPr="00807A92">
        <w:rPr>
          <w:rFonts w:ascii="Times New Roman" w:eastAsia="Times New Roman" w:hAnsi="Times New Roman" w:cs="Times New Roman"/>
          <w:i/>
          <w:iCs/>
          <w:sz w:val="24"/>
          <w:szCs w:val="24"/>
          <w:lang w:eastAsia="it-IT"/>
        </w:rPr>
        <w:t xml:space="preserve"> objective</w:t>
      </w:r>
      <w:r w:rsidRPr="00807A92">
        <w:rPr>
          <w:rFonts w:ascii="Times New Roman" w:eastAsia="Times New Roman" w:hAnsi="Times New Roman" w:cs="Times New Roman"/>
          <w:sz w:val="24"/>
          <w:szCs w:val="24"/>
          <w:lang w:eastAsia="it-IT"/>
        </w:rPr>
        <w:t xml:space="preserve"> terms </w:t>
      </w:r>
      <w:r w:rsidRPr="00807A92">
        <w:rPr>
          <w:rFonts w:ascii="Times New Roman" w:eastAsia="Times New Roman" w:hAnsi="Times New Roman" w:cs="Times New Roman"/>
          <w:sz w:val="24"/>
          <w:szCs w:val="24"/>
          <w:lang w:eastAsia="it-IT"/>
        </w:rPr>
        <w:lastRenderedPageBreak/>
        <w:t>are simply unattainable, at least for mortal national judges not possessing the qualities, time, and resources of Dworkin’s Judge Hercules (comparing (all) language version; interpreting each provision of EU law in the light of EU law as a whole, while having a perfect knowledge of its state of evolution at the date on which that provision is interpreted).</w:t>
      </w:r>
    </w:p>
    <w:p w14:paraId="59AEA6F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87" w:name="point105"/>
      <w:r w:rsidRPr="00807A92">
        <w:rPr>
          <w:rFonts w:ascii="Times New Roman" w:eastAsia="Times New Roman" w:hAnsi="Times New Roman" w:cs="Times New Roman"/>
          <w:sz w:val="24"/>
          <w:szCs w:val="24"/>
          <w:lang w:eastAsia="it-IT"/>
        </w:rPr>
        <w:t>105.</w:t>
      </w:r>
      <w:bookmarkEnd w:id="187"/>
      <w:r w:rsidRPr="00807A92">
        <w:rPr>
          <w:rFonts w:ascii="Times New Roman" w:eastAsia="Times New Roman" w:hAnsi="Times New Roman" w:cs="Times New Roman"/>
          <w:sz w:val="24"/>
          <w:szCs w:val="24"/>
          <w:lang w:eastAsia="it-IT"/>
        </w:rPr>
        <w:t xml:space="preserve"> Second, and somewhat understandably in view of the previous point,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criteria for ‘</w:t>
      </w:r>
      <w:r w:rsidRPr="00807A92">
        <w:rPr>
          <w:rFonts w:ascii="Times New Roman" w:eastAsia="Times New Roman" w:hAnsi="Times New Roman" w:cs="Times New Roman"/>
          <w:i/>
          <w:iCs/>
          <w:sz w:val="24"/>
          <w:szCs w:val="24"/>
          <w:lang w:eastAsia="it-IT"/>
        </w:rPr>
        <w:t>acte clair</w:t>
      </w:r>
      <w:r w:rsidRPr="00807A92">
        <w:rPr>
          <w:rFonts w:ascii="Times New Roman" w:eastAsia="Times New Roman" w:hAnsi="Times New Roman" w:cs="Times New Roman"/>
          <w:sz w:val="24"/>
          <w:szCs w:val="24"/>
          <w:lang w:eastAsia="it-IT"/>
        </w:rPr>
        <w:t>’ are hardly applied in a consistent and systematic manner by national courts of last instance within the examination of the third exception to the duty to refer. (</w:t>
      </w:r>
      <w:bookmarkStart w:id="188" w:name="Footref83"/>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"Footnote83"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83</w:t>
      </w:r>
      <w:r w:rsidRPr="00807A92">
        <w:rPr>
          <w:rFonts w:ascii="Times New Roman" w:eastAsia="Times New Roman" w:hAnsi="Times New Roman" w:cs="Times New Roman"/>
          <w:sz w:val="24"/>
          <w:szCs w:val="24"/>
          <w:lang w:eastAsia="it-IT"/>
        </w:rPr>
        <w:fldChar w:fldCharType="end"/>
      </w:r>
      <w:bookmarkEnd w:id="188"/>
      <w:r w:rsidRPr="00807A92">
        <w:rPr>
          <w:rFonts w:ascii="Times New Roman" w:eastAsia="Times New Roman" w:hAnsi="Times New Roman" w:cs="Times New Roman"/>
          <w:sz w:val="24"/>
          <w:szCs w:val="24"/>
          <w:lang w:eastAsia="it-IT"/>
        </w:rPr>
        <w:t xml:space="preserve">) There are certainly instances in which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is referred to by national courts of last instance. However, that does not mean that the criteria set out in that judgment, in particular the specific requirements relating to the existence of </w:t>
      </w:r>
      <w:r w:rsidRPr="00807A92">
        <w:rPr>
          <w:rFonts w:ascii="Times New Roman" w:eastAsia="Times New Roman" w:hAnsi="Times New Roman" w:cs="Times New Roman"/>
          <w:i/>
          <w:iCs/>
          <w:sz w:val="24"/>
          <w:szCs w:val="24"/>
          <w:lang w:eastAsia="it-IT"/>
        </w:rPr>
        <w:t>acte clair</w:t>
      </w:r>
      <w:r w:rsidRPr="00807A92">
        <w:rPr>
          <w:rFonts w:ascii="Times New Roman" w:eastAsia="Times New Roman" w:hAnsi="Times New Roman" w:cs="Times New Roman"/>
          <w:sz w:val="24"/>
          <w:szCs w:val="24"/>
          <w:lang w:eastAsia="it-IT"/>
        </w:rPr>
        <w:t>, would in fact be applied as such. (</w:t>
      </w:r>
      <w:bookmarkStart w:id="189" w:name="Footref84"/>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"Footnote84"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84</w:t>
      </w:r>
      <w:r w:rsidRPr="00807A92">
        <w:rPr>
          <w:rFonts w:ascii="Times New Roman" w:eastAsia="Times New Roman" w:hAnsi="Times New Roman" w:cs="Times New Roman"/>
          <w:sz w:val="24"/>
          <w:szCs w:val="24"/>
          <w:lang w:eastAsia="it-IT"/>
        </w:rPr>
        <w:fldChar w:fldCharType="end"/>
      </w:r>
      <w:bookmarkEnd w:id="189"/>
      <w:r w:rsidRPr="00807A92">
        <w:rPr>
          <w:rFonts w:ascii="Times New Roman" w:eastAsia="Times New Roman" w:hAnsi="Times New Roman" w:cs="Times New Roman"/>
          <w:sz w:val="24"/>
          <w:szCs w:val="24"/>
          <w:lang w:eastAsia="it-IT"/>
        </w:rPr>
        <w:t xml:space="preserve">) There are instances in which national courts replace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criteria with their own criteria and standards. For example, the French supreme courts frequently consider that the duty to refer is triggered where there is a ‘serious difficulty’ in interpreting EU law, thereby making the duty to refer much looser than that which follows from the letter and spirit of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w:t>
      </w:r>
      <w:bookmarkStart w:id="190" w:name="Footref85"/>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"Footnote85"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85</w:t>
      </w:r>
      <w:r w:rsidRPr="00807A92">
        <w:rPr>
          <w:rFonts w:ascii="Times New Roman" w:eastAsia="Times New Roman" w:hAnsi="Times New Roman" w:cs="Times New Roman"/>
          <w:sz w:val="24"/>
          <w:szCs w:val="24"/>
          <w:lang w:eastAsia="it-IT"/>
        </w:rPr>
        <w:fldChar w:fldCharType="end"/>
      </w:r>
      <w:bookmarkEnd w:id="190"/>
      <w:r w:rsidRPr="00807A92">
        <w:rPr>
          <w:rFonts w:ascii="Times New Roman" w:eastAsia="Times New Roman" w:hAnsi="Times New Roman" w:cs="Times New Roman"/>
          <w:sz w:val="24"/>
          <w:szCs w:val="24"/>
          <w:lang w:eastAsia="it-IT"/>
        </w:rPr>
        <w:t>) Similarly, other supreme courts have also focused on the nature of the question raised, regardless of the existence of interpretative doubts, as the basis of the duty to refer. (</w:t>
      </w:r>
      <w:bookmarkStart w:id="191" w:name="Footref86"/>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"Footnote86"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86</w:t>
      </w:r>
      <w:r w:rsidRPr="00807A92">
        <w:rPr>
          <w:rFonts w:ascii="Times New Roman" w:eastAsia="Times New Roman" w:hAnsi="Times New Roman" w:cs="Times New Roman"/>
          <w:sz w:val="24"/>
          <w:szCs w:val="24"/>
          <w:lang w:eastAsia="it-IT"/>
        </w:rPr>
        <w:fldChar w:fldCharType="end"/>
      </w:r>
      <w:bookmarkEnd w:id="191"/>
      <w:r w:rsidRPr="00807A92">
        <w:rPr>
          <w:rFonts w:ascii="Times New Roman" w:eastAsia="Times New Roman" w:hAnsi="Times New Roman" w:cs="Times New Roman"/>
          <w:sz w:val="24"/>
          <w:szCs w:val="24"/>
          <w:lang w:eastAsia="it-IT"/>
        </w:rPr>
        <w:t>)</w:t>
      </w:r>
    </w:p>
    <w:p w14:paraId="1C48A5E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92" w:name="point106"/>
      <w:r w:rsidRPr="00807A92">
        <w:rPr>
          <w:rFonts w:ascii="Times New Roman" w:eastAsia="Times New Roman" w:hAnsi="Times New Roman" w:cs="Times New Roman"/>
          <w:sz w:val="24"/>
          <w:szCs w:val="24"/>
          <w:lang w:eastAsia="it-IT"/>
        </w:rPr>
        <w:t>106.</w:t>
      </w:r>
      <w:bookmarkEnd w:id="192"/>
      <w:r w:rsidRPr="00807A92">
        <w:rPr>
          <w:rFonts w:ascii="Times New Roman" w:eastAsia="Times New Roman" w:hAnsi="Times New Roman" w:cs="Times New Roman"/>
          <w:sz w:val="24"/>
          <w:szCs w:val="24"/>
          <w:lang w:eastAsia="it-IT"/>
        </w:rPr>
        <w:t> Third, there are some Member States in which compliance with the duty to refer is checked by constitutional courts by means of an individual constitutional complaint, invoking the right to a lawful judge or fair trial. (</w:t>
      </w:r>
      <w:bookmarkStart w:id="193" w:name="Footref87"/>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"Footnote87"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87</w:t>
      </w:r>
      <w:r w:rsidRPr="00807A92">
        <w:rPr>
          <w:rFonts w:ascii="Times New Roman" w:eastAsia="Times New Roman" w:hAnsi="Times New Roman" w:cs="Times New Roman"/>
          <w:sz w:val="24"/>
          <w:szCs w:val="24"/>
          <w:lang w:eastAsia="it-IT"/>
        </w:rPr>
        <w:fldChar w:fldCharType="end"/>
      </w:r>
      <w:bookmarkEnd w:id="193"/>
      <w:r w:rsidRPr="00807A92">
        <w:rPr>
          <w:rFonts w:ascii="Times New Roman" w:eastAsia="Times New Roman" w:hAnsi="Times New Roman" w:cs="Times New Roman"/>
          <w:sz w:val="24"/>
          <w:szCs w:val="24"/>
          <w:lang w:eastAsia="it-IT"/>
        </w:rPr>
        <w:t xml:space="preserve">) However, in those systems, the overall yardstick adopted is, in fact, far lighter than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one, revolving around the concepts of an obviously untenable or arbitrary interpretation of EU law, often coupled with the duty to properly justify the reason why a reference to the Court of Justice was not necessary. (</w:t>
      </w:r>
      <w:bookmarkStart w:id="194" w:name="Footref88"/>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"Footnote88"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88</w:t>
      </w:r>
      <w:r w:rsidRPr="00807A92">
        <w:rPr>
          <w:rFonts w:ascii="Times New Roman" w:eastAsia="Times New Roman" w:hAnsi="Times New Roman" w:cs="Times New Roman"/>
          <w:sz w:val="24"/>
          <w:szCs w:val="24"/>
          <w:lang w:eastAsia="it-IT"/>
        </w:rPr>
        <w:fldChar w:fldCharType="end"/>
      </w:r>
      <w:bookmarkEnd w:id="194"/>
      <w:r w:rsidRPr="00807A92">
        <w:rPr>
          <w:rFonts w:ascii="Times New Roman" w:eastAsia="Times New Roman" w:hAnsi="Times New Roman" w:cs="Times New Roman"/>
          <w:sz w:val="24"/>
          <w:szCs w:val="24"/>
          <w:lang w:eastAsia="it-IT"/>
        </w:rPr>
        <w:t>)</w:t>
      </w:r>
    </w:p>
    <w:p w14:paraId="2A125E8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95" w:name="point107"/>
      <w:r w:rsidRPr="00807A92">
        <w:rPr>
          <w:rFonts w:ascii="Times New Roman" w:eastAsia="Times New Roman" w:hAnsi="Times New Roman" w:cs="Times New Roman"/>
          <w:sz w:val="24"/>
          <w:szCs w:val="24"/>
          <w:lang w:eastAsia="it-IT"/>
        </w:rPr>
        <w:t>107.</w:t>
      </w:r>
      <w:bookmarkEnd w:id="195"/>
      <w:r w:rsidRPr="00807A92">
        <w:rPr>
          <w:rFonts w:ascii="Times New Roman" w:eastAsia="Times New Roman" w:hAnsi="Times New Roman" w:cs="Times New Roman"/>
          <w:sz w:val="24"/>
          <w:szCs w:val="24"/>
          <w:lang w:eastAsia="it-IT"/>
        </w:rPr>
        <w:t xml:space="preserve"> It could be suggested that national constitutional courts review the obligation to make a reference to the Court of Justice under the third paragraph of Article 267 TFEU in line with their </w:t>
      </w:r>
      <w:r w:rsidRPr="00807A92">
        <w:rPr>
          <w:rFonts w:ascii="Times New Roman" w:eastAsia="Times New Roman" w:hAnsi="Times New Roman" w:cs="Times New Roman"/>
          <w:i/>
          <w:iCs/>
          <w:sz w:val="24"/>
          <w:szCs w:val="24"/>
          <w:lang w:eastAsia="it-IT"/>
        </w:rPr>
        <w:t>national</w:t>
      </w:r>
      <w:r w:rsidRPr="00807A92">
        <w:rPr>
          <w:rFonts w:ascii="Times New Roman" w:eastAsia="Times New Roman" w:hAnsi="Times New Roman" w:cs="Times New Roman"/>
          <w:sz w:val="24"/>
          <w:szCs w:val="24"/>
          <w:lang w:eastAsia="it-IT"/>
        </w:rPr>
        <w:t xml:space="preserve"> standards and notions of constitutionality and fundamental rights protection. That is certainly true with regard to whether the identification of the relevant national right per se (the right to a lawful judge, or a fair trial, or due process of law, or whatever else) will be one guaranteed in the national legal system. It is a different story for the internal yardstick, that is to say the specific conditions under which a request for a preliminary ruling ought to be made. On the latter issue, it is fair to assume that national constitutional rules are silent in that regard. Yet, when it comes to the effective enforcement of the duty, none of the national constitutional courts appear, in fact, to have embraced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w:t>
      </w:r>
    </w:p>
    <w:p w14:paraId="1DC103F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196" w:name="point108"/>
      <w:r w:rsidRPr="00807A92">
        <w:rPr>
          <w:rFonts w:ascii="Times New Roman" w:eastAsia="Times New Roman" w:hAnsi="Times New Roman" w:cs="Times New Roman"/>
          <w:sz w:val="24"/>
          <w:szCs w:val="24"/>
          <w:lang w:eastAsia="it-IT"/>
        </w:rPr>
        <w:t>108.</w:t>
      </w:r>
      <w:bookmarkEnd w:id="196"/>
      <w:r w:rsidRPr="00807A92">
        <w:rPr>
          <w:rFonts w:ascii="Times New Roman" w:eastAsia="Times New Roman" w:hAnsi="Times New Roman" w:cs="Times New Roman"/>
          <w:sz w:val="24"/>
          <w:szCs w:val="24"/>
          <w:lang w:eastAsia="it-IT"/>
        </w:rPr>
        <w:t xml:space="preserve"> Fourth, the ECtHR invokes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criteria when reviewing the failure of national courts of last instance to seek a preliminary ruling from the Court under the heading of the right to a fair trial under Article 6(1) of the European Convention on Human Rights (ECHR). The ECtHR found, for instance, a violation of Article 6(1) ECHR in the case of </w:t>
      </w:r>
      <w:r w:rsidRPr="00807A92">
        <w:rPr>
          <w:rFonts w:ascii="Times New Roman" w:eastAsia="Times New Roman" w:hAnsi="Times New Roman" w:cs="Times New Roman"/>
          <w:i/>
          <w:iCs/>
          <w:sz w:val="24"/>
          <w:szCs w:val="24"/>
          <w:lang w:eastAsia="it-IT"/>
        </w:rPr>
        <w:t>Dhahbi v. Italy</w:t>
      </w:r>
      <w:r w:rsidRPr="00807A92">
        <w:rPr>
          <w:rFonts w:ascii="Times New Roman" w:eastAsia="Times New Roman" w:hAnsi="Times New Roman" w:cs="Times New Roman"/>
          <w:sz w:val="24"/>
          <w:szCs w:val="24"/>
          <w:lang w:eastAsia="it-IT"/>
        </w:rPr>
        <w:t xml:space="preserve"> due to the lack of reasons given by the domestic court for its refusal to refer a question to the Court. It noted that the Italian Court of Cassation had made no reference to the applicant’s request for a preliminary ruling, nor explained the reasons why it had considered that the question raised did not warrant a referral to the Court, nor made any reference to its case-law. (</w:t>
      </w:r>
      <w:bookmarkStart w:id="197" w:name="Footref89"/>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"Footnote89"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89</w:t>
      </w:r>
      <w:r w:rsidRPr="00807A92">
        <w:rPr>
          <w:rFonts w:ascii="Times New Roman" w:eastAsia="Times New Roman" w:hAnsi="Times New Roman" w:cs="Times New Roman"/>
          <w:sz w:val="24"/>
          <w:szCs w:val="24"/>
          <w:lang w:eastAsia="it-IT"/>
        </w:rPr>
        <w:fldChar w:fldCharType="end"/>
      </w:r>
      <w:bookmarkEnd w:id="197"/>
      <w:r w:rsidRPr="00807A92">
        <w:rPr>
          <w:rFonts w:ascii="Times New Roman" w:eastAsia="Times New Roman" w:hAnsi="Times New Roman" w:cs="Times New Roman"/>
          <w:sz w:val="24"/>
          <w:szCs w:val="24"/>
          <w:lang w:eastAsia="it-IT"/>
        </w:rPr>
        <w:t>) However, elsewhere, the ECtHR considered that a summary reasoning to refuse a request for a preliminary ruling was sufficient where the national court had already concluded in another part of its judgment that such a request was redundant. (</w:t>
      </w:r>
      <w:bookmarkStart w:id="198" w:name="Footref90"/>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"Footnote90"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90</w:t>
      </w:r>
      <w:r w:rsidRPr="00807A92">
        <w:rPr>
          <w:rFonts w:ascii="Times New Roman" w:eastAsia="Times New Roman" w:hAnsi="Times New Roman" w:cs="Times New Roman"/>
          <w:sz w:val="24"/>
          <w:szCs w:val="24"/>
          <w:lang w:eastAsia="it-IT"/>
        </w:rPr>
        <w:fldChar w:fldCharType="end"/>
      </w:r>
      <w:bookmarkEnd w:id="198"/>
      <w:r w:rsidRPr="00807A92">
        <w:rPr>
          <w:rFonts w:ascii="Times New Roman" w:eastAsia="Times New Roman" w:hAnsi="Times New Roman" w:cs="Times New Roman"/>
          <w:sz w:val="24"/>
          <w:szCs w:val="24"/>
          <w:lang w:eastAsia="it-IT"/>
        </w:rPr>
        <w:t xml:space="preserve">) The ECtHR has also held that, where a national court of last instance refuses or fails to refer a question for a preliminary ruling, that court is required to give reasons for such refusal in the light of the exceptions provided for by the case-law of the Court. It must in particular indicate the reasons why it considers the question to be irrelevant, whether the EU law provision in question has already </w:t>
      </w:r>
      <w:r w:rsidRPr="00807A92">
        <w:rPr>
          <w:rFonts w:ascii="Times New Roman" w:eastAsia="Times New Roman" w:hAnsi="Times New Roman" w:cs="Times New Roman"/>
          <w:sz w:val="24"/>
          <w:szCs w:val="24"/>
          <w:lang w:eastAsia="it-IT"/>
        </w:rPr>
        <w:lastRenderedPageBreak/>
        <w:t>been interpreted by the Court, or whether the correct application of EU law is so obvious as to leave no scope for any reasonable doubt. (</w:t>
      </w:r>
      <w:bookmarkStart w:id="199" w:name="Footref91"/>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"Footnote91"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91</w:t>
      </w:r>
      <w:r w:rsidRPr="00807A92">
        <w:rPr>
          <w:rFonts w:ascii="Times New Roman" w:eastAsia="Times New Roman" w:hAnsi="Times New Roman" w:cs="Times New Roman"/>
          <w:sz w:val="24"/>
          <w:szCs w:val="24"/>
          <w:lang w:eastAsia="it-IT"/>
        </w:rPr>
        <w:fldChar w:fldCharType="end"/>
      </w:r>
      <w:bookmarkEnd w:id="199"/>
      <w:r w:rsidRPr="00807A92">
        <w:rPr>
          <w:rFonts w:ascii="Times New Roman" w:eastAsia="Times New Roman" w:hAnsi="Times New Roman" w:cs="Times New Roman"/>
          <w:sz w:val="24"/>
          <w:szCs w:val="24"/>
          <w:lang w:eastAsia="it-IT"/>
        </w:rPr>
        <w:t>)</w:t>
      </w:r>
    </w:p>
    <w:p w14:paraId="10C1C09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00" w:name="point109"/>
      <w:r w:rsidRPr="00807A92">
        <w:rPr>
          <w:rFonts w:ascii="Times New Roman" w:eastAsia="Times New Roman" w:hAnsi="Times New Roman" w:cs="Times New Roman"/>
          <w:sz w:val="24"/>
          <w:szCs w:val="24"/>
          <w:lang w:eastAsia="it-IT"/>
        </w:rPr>
        <w:t>109.</w:t>
      </w:r>
      <w:bookmarkEnd w:id="200"/>
      <w:r w:rsidRPr="00807A92">
        <w:rPr>
          <w:rFonts w:ascii="Times New Roman" w:eastAsia="Times New Roman" w:hAnsi="Times New Roman" w:cs="Times New Roman"/>
          <w:sz w:val="24"/>
          <w:szCs w:val="24"/>
          <w:lang w:eastAsia="it-IT"/>
        </w:rPr>
        <w:t xml:space="preserve"> In general, while the review carried out by the ECtHR refers to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decision, its focus remains on the reasoning behind a national decision not to make a reference. Thus, without dwelling much on the substance, and certainly not in terms of a detailed examination of the ‘no reasonable doubt’ factor which is in fact required by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the ECtHR reviews whether national courts of last instance have duly explained why they consider that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criteria have been fulfilled without the ECtHR examining the merits as to whether that is indeed the case.</w:t>
      </w:r>
    </w:p>
    <w:p w14:paraId="7405707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01" w:name="point110"/>
      <w:r w:rsidRPr="00807A92">
        <w:rPr>
          <w:rFonts w:ascii="Times New Roman" w:eastAsia="Times New Roman" w:hAnsi="Times New Roman" w:cs="Times New Roman"/>
          <w:sz w:val="24"/>
          <w:szCs w:val="24"/>
          <w:lang w:eastAsia="it-IT"/>
        </w:rPr>
        <w:t>110.</w:t>
      </w:r>
      <w:bookmarkEnd w:id="201"/>
      <w:r w:rsidRPr="00807A92">
        <w:rPr>
          <w:rFonts w:ascii="Times New Roman" w:eastAsia="Times New Roman" w:hAnsi="Times New Roman" w:cs="Times New Roman"/>
          <w:sz w:val="24"/>
          <w:szCs w:val="24"/>
          <w:lang w:eastAsia="it-IT"/>
        </w:rPr>
        <w:t xml:space="preserve"> In summary, the lack of any reasonable guidance as to the logic or application of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criteria is not only reflected in the (surprisingly consistent) criticism given by the past Advocates General over the years. The same point also emerges from the simple fact that, among those tasked with applying that obligation, and in particular those who are actually enforcing it, no one appears to be following the guidance of the Court. This is, in my view, not because they seek, in one way or another, to disregard the Court. It is rather a natural self-preservation mechanism. </w:t>
      </w:r>
      <w:r w:rsidRPr="00807A92">
        <w:rPr>
          <w:rFonts w:ascii="Times New Roman" w:eastAsia="Times New Roman" w:hAnsi="Times New Roman" w:cs="Times New Roman"/>
          <w:i/>
          <w:iCs/>
          <w:sz w:val="24"/>
          <w:szCs w:val="24"/>
          <w:lang w:eastAsia="it-IT"/>
        </w:rPr>
        <w:t>Impossibilium nulla est obligatio</w:t>
      </w:r>
      <w:r w:rsidRPr="00807A92">
        <w:rPr>
          <w:rFonts w:ascii="Times New Roman" w:eastAsia="Times New Roman" w:hAnsi="Times New Roman" w:cs="Times New Roman"/>
          <w:sz w:val="24"/>
          <w:szCs w:val="24"/>
          <w:lang w:eastAsia="it-IT"/>
        </w:rPr>
        <w:t xml:space="preserve">. </w:t>
      </w:r>
    </w:p>
    <w:p w14:paraId="0FB84D6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3.      </w:t>
      </w:r>
      <w:r w:rsidRPr="00807A92">
        <w:rPr>
          <w:rFonts w:ascii="Times New Roman" w:eastAsia="Times New Roman" w:hAnsi="Times New Roman" w:cs="Times New Roman"/>
          <w:b/>
          <w:bCs/>
          <w:i/>
          <w:iCs/>
          <w:sz w:val="24"/>
          <w:szCs w:val="24"/>
          <w:lang w:eastAsia="it-IT"/>
        </w:rPr>
        <w:t>Systemic coherence of EU law remedies</w:t>
      </w:r>
    </w:p>
    <w:p w14:paraId="2C7DA5C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02" w:name="point111"/>
      <w:r w:rsidRPr="00807A92">
        <w:rPr>
          <w:rFonts w:ascii="Times New Roman" w:eastAsia="Times New Roman" w:hAnsi="Times New Roman" w:cs="Times New Roman"/>
          <w:sz w:val="24"/>
          <w:szCs w:val="24"/>
          <w:lang w:eastAsia="it-IT"/>
        </w:rPr>
        <w:t>111.</w:t>
      </w:r>
      <w:bookmarkEnd w:id="202"/>
      <w:r w:rsidRPr="00807A92">
        <w:rPr>
          <w:rFonts w:ascii="Times New Roman" w:eastAsia="Times New Roman" w:hAnsi="Times New Roman" w:cs="Times New Roman"/>
          <w:sz w:val="24"/>
          <w:szCs w:val="24"/>
          <w:lang w:eastAsia="it-IT"/>
        </w:rPr>
        <w:t xml:space="preserve"> There is another argument as to why it is necessary to revisit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the systemic, horizontal coherence of EU law remedies. In a nutshell,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criteria are even oddly disconnected from EU law’s own means of enforcing the obligation to make a reference under the third paragraph of Article 267 TFEU. </w:t>
      </w:r>
    </w:p>
    <w:p w14:paraId="6B4EBDA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03" w:name="point112"/>
      <w:r w:rsidRPr="00807A92">
        <w:rPr>
          <w:rFonts w:ascii="Times New Roman" w:eastAsia="Times New Roman" w:hAnsi="Times New Roman" w:cs="Times New Roman"/>
          <w:sz w:val="24"/>
          <w:szCs w:val="24"/>
          <w:lang w:eastAsia="it-IT"/>
        </w:rPr>
        <w:t>112.</w:t>
      </w:r>
      <w:bookmarkEnd w:id="203"/>
      <w:r w:rsidRPr="00807A92">
        <w:rPr>
          <w:rFonts w:ascii="Times New Roman" w:eastAsia="Times New Roman" w:hAnsi="Times New Roman" w:cs="Times New Roman"/>
          <w:sz w:val="24"/>
          <w:szCs w:val="24"/>
          <w:lang w:eastAsia="it-IT"/>
        </w:rPr>
        <w:t> Certainly, at present, there is no specific EU law remedy available to the parties to which they could have recourse if they believe that their right to have a matter submitted to the Court under the third paragraph of Article 267 TFEU has been infringed.(</w:t>
      </w:r>
      <w:bookmarkStart w:id="204" w:name="Footref92"/>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"Footnote92"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92</w:t>
      </w:r>
      <w:r w:rsidRPr="00807A92">
        <w:rPr>
          <w:rFonts w:ascii="Times New Roman" w:eastAsia="Times New Roman" w:hAnsi="Times New Roman" w:cs="Times New Roman"/>
          <w:sz w:val="24"/>
          <w:szCs w:val="24"/>
          <w:lang w:eastAsia="it-IT"/>
        </w:rPr>
        <w:fldChar w:fldCharType="end"/>
      </w:r>
      <w:bookmarkEnd w:id="204"/>
      <w:r w:rsidRPr="00807A92">
        <w:rPr>
          <w:rFonts w:ascii="Times New Roman" w:eastAsia="Times New Roman" w:hAnsi="Times New Roman" w:cs="Times New Roman"/>
          <w:sz w:val="24"/>
          <w:szCs w:val="24"/>
          <w:lang w:eastAsia="it-IT"/>
        </w:rPr>
        <w:t>) That is a logical consequence of the Court’s insistence that the parties to the main proceedings do not have an automatic right to have a request for a preliminary ruling made in as much as Article 267 TFEU does not constitute a means of redress available to the parties to a case pending before a national court. (</w:t>
      </w:r>
      <w:bookmarkStart w:id="205" w:name="Footref93"/>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"Footnote93"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93</w:t>
      </w:r>
      <w:r w:rsidRPr="00807A92">
        <w:rPr>
          <w:rFonts w:ascii="Times New Roman" w:eastAsia="Times New Roman" w:hAnsi="Times New Roman" w:cs="Times New Roman"/>
          <w:sz w:val="24"/>
          <w:szCs w:val="24"/>
          <w:lang w:eastAsia="it-IT"/>
        </w:rPr>
        <w:fldChar w:fldCharType="end"/>
      </w:r>
      <w:bookmarkEnd w:id="205"/>
      <w:r w:rsidRPr="00807A92">
        <w:rPr>
          <w:rFonts w:ascii="Times New Roman" w:eastAsia="Times New Roman" w:hAnsi="Times New Roman" w:cs="Times New Roman"/>
          <w:sz w:val="24"/>
          <w:szCs w:val="24"/>
          <w:lang w:eastAsia="it-IT"/>
        </w:rPr>
        <w:t>) In view of the (now) robust national constitutional case-law, (</w:t>
      </w:r>
      <w:bookmarkStart w:id="206" w:name="Footref94"/>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"Footnote94"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94</w:t>
      </w:r>
      <w:r w:rsidRPr="00807A92">
        <w:rPr>
          <w:rFonts w:ascii="Times New Roman" w:eastAsia="Times New Roman" w:hAnsi="Times New Roman" w:cs="Times New Roman"/>
          <w:sz w:val="24"/>
          <w:szCs w:val="24"/>
          <w:lang w:eastAsia="it-IT"/>
        </w:rPr>
        <w:fldChar w:fldCharType="end"/>
      </w:r>
      <w:bookmarkEnd w:id="206"/>
      <w:r w:rsidRPr="00807A92">
        <w:rPr>
          <w:rFonts w:ascii="Times New Roman" w:eastAsia="Times New Roman" w:hAnsi="Times New Roman" w:cs="Times New Roman"/>
          <w:sz w:val="24"/>
          <w:szCs w:val="24"/>
          <w:lang w:eastAsia="it-IT"/>
        </w:rPr>
        <w:t>) as well as the case-law of the ECtHR, (</w:t>
      </w:r>
      <w:bookmarkStart w:id="207" w:name="Footref95"/>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"Footnote95"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95</w:t>
      </w:r>
      <w:r w:rsidRPr="00807A92">
        <w:rPr>
          <w:rFonts w:ascii="Times New Roman" w:eastAsia="Times New Roman" w:hAnsi="Times New Roman" w:cs="Times New Roman"/>
          <w:sz w:val="24"/>
          <w:szCs w:val="24"/>
          <w:lang w:eastAsia="it-IT"/>
        </w:rPr>
        <w:fldChar w:fldCharType="end"/>
      </w:r>
      <w:bookmarkEnd w:id="207"/>
      <w:r w:rsidRPr="00807A92">
        <w:rPr>
          <w:rFonts w:ascii="Times New Roman" w:eastAsia="Times New Roman" w:hAnsi="Times New Roman" w:cs="Times New Roman"/>
          <w:sz w:val="24"/>
          <w:szCs w:val="24"/>
          <w:lang w:eastAsia="it-IT"/>
        </w:rPr>
        <w:t>) according to which, if the (objective) criteria for the existence of an obligation to refer are met, the parties to those proceedings have a (subjective) right to have their case referred to the Court which is inherent in their right to a fair trial, one may nevertheless consider that that is perhaps not the only possible approach. (</w:t>
      </w:r>
      <w:bookmarkStart w:id="208" w:name="Footref96"/>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"Footnote96"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96</w:t>
      </w:r>
      <w:r w:rsidRPr="00807A92">
        <w:rPr>
          <w:rFonts w:ascii="Times New Roman" w:eastAsia="Times New Roman" w:hAnsi="Times New Roman" w:cs="Times New Roman"/>
          <w:sz w:val="24"/>
          <w:szCs w:val="24"/>
          <w:lang w:eastAsia="it-IT"/>
        </w:rPr>
        <w:fldChar w:fldCharType="end"/>
      </w:r>
      <w:bookmarkEnd w:id="208"/>
      <w:r w:rsidRPr="00807A92">
        <w:rPr>
          <w:rFonts w:ascii="Times New Roman" w:eastAsia="Times New Roman" w:hAnsi="Times New Roman" w:cs="Times New Roman"/>
          <w:sz w:val="24"/>
          <w:szCs w:val="24"/>
          <w:lang w:eastAsia="it-IT"/>
        </w:rPr>
        <w:t>)</w:t>
      </w:r>
    </w:p>
    <w:p w14:paraId="46CFA0F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09" w:name="point113"/>
      <w:r w:rsidRPr="00807A92">
        <w:rPr>
          <w:rFonts w:ascii="Times New Roman" w:eastAsia="Times New Roman" w:hAnsi="Times New Roman" w:cs="Times New Roman"/>
          <w:sz w:val="24"/>
          <w:szCs w:val="24"/>
          <w:lang w:eastAsia="it-IT"/>
        </w:rPr>
        <w:t>113.</w:t>
      </w:r>
      <w:bookmarkEnd w:id="209"/>
      <w:r w:rsidRPr="00807A92">
        <w:rPr>
          <w:rFonts w:ascii="Times New Roman" w:eastAsia="Times New Roman" w:hAnsi="Times New Roman" w:cs="Times New Roman"/>
          <w:sz w:val="24"/>
          <w:szCs w:val="24"/>
          <w:lang w:eastAsia="it-IT"/>
        </w:rPr>
        <w:t xml:space="preserve"> Since there is no ‘direct’ remedy, the possible enforcement of the duty to refer under the third paragraph of Article 267 TFEU could, possibly, be a matter of either state liability or an infringement action. However, that is exactly where the issues get complicated. </w:t>
      </w:r>
    </w:p>
    <w:p w14:paraId="265FEF9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10" w:name="point114"/>
      <w:r w:rsidRPr="00807A92">
        <w:rPr>
          <w:rFonts w:ascii="Times New Roman" w:eastAsia="Times New Roman" w:hAnsi="Times New Roman" w:cs="Times New Roman"/>
          <w:sz w:val="24"/>
          <w:szCs w:val="24"/>
          <w:lang w:eastAsia="it-IT"/>
        </w:rPr>
        <w:t>114.</w:t>
      </w:r>
      <w:bookmarkEnd w:id="210"/>
      <w:r w:rsidRPr="00807A92">
        <w:rPr>
          <w:rFonts w:ascii="Times New Roman" w:eastAsia="Times New Roman" w:hAnsi="Times New Roman" w:cs="Times New Roman"/>
          <w:sz w:val="24"/>
          <w:szCs w:val="24"/>
          <w:lang w:eastAsia="it-IT"/>
        </w:rPr>
        <w:t xml:space="preserve"> On the one hand, since </w:t>
      </w:r>
      <w:r w:rsidRPr="00807A92">
        <w:rPr>
          <w:rFonts w:ascii="Times New Roman" w:eastAsia="Times New Roman" w:hAnsi="Times New Roman" w:cs="Times New Roman"/>
          <w:i/>
          <w:iCs/>
          <w:sz w:val="24"/>
          <w:szCs w:val="24"/>
          <w:lang w:eastAsia="it-IT"/>
        </w:rPr>
        <w:t>Köbler</w:t>
      </w:r>
      <w:r w:rsidRPr="00807A92">
        <w:rPr>
          <w:rFonts w:ascii="Times New Roman" w:eastAsia="Times New Roman" w:hAnsi="Times New Roman" w:cs="Times New Roman"/>
          <w:sz w:val="24"/>
          <w:szCs w:val="24"/>
          <w:lang w:eastAsia="it-IT"/>
        </w:rPr>
        <w:t xml:space="preserve">,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there is the possibility of obtaining redress in the national courts for the damage caused by the infringement of individual rights owing to a decision of a court adjudicating at last instance. (</w:t>
      </w:r>
      <w:bookmarkStart w:id="211" w:name="Footref97"/>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"Footnote97"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97</w:t>
      </w:r>
      <w:r w:rsidRPr="00807A92">
        <w:rPr>
          <w:rFonts w:ascii="Times New Roman" w:eastAsia="Times New Roman" w:hAnsi="Times New Roman" w:cs="Times New Roman"/>
          <w:sz w:val="24"/>
          <w:szCs w:val="24"/>
          <w:lang w:eastAsia="it-IT"/>
        </w:rPr>
        <w:fldChar w:fldCharType="end"/>
      </w:r>
      <w:bookmarkEnd w:id="211"/>
      <w:r w:rsidRPr="00807A92">
        <w:rPr>
          <w:rFonts w:ascii="Times New Roman" w:eastAsia="Times New Roman" w:hAnsi="Times New Roman" w:cs="Times New Roman"/>
          <w:sz w:val="24"/>
          <w:szCs w:val="24"/>
          <w:lang w:eastAsia="it-IT"/>
        </w:rPr>
        <w:t>) In order for such an action to be successful, the legal rule infringed must be intended to confer rights on individuals; the breach must be sufficiently serious; and there must be a direct causal link between the breach of the obligation incumbent on the State and the loss or damage sustained by the injured parties. State liability for loss or damage caused by a decision of a national court adjudicating at last instance is governed by the same conditions. (</w:t>
      </w:r>
      <w:bookmarkStart w:id="212" w:name="Footref98"/>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"Footnote98"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98</w:t>
      </w:r>
      <w:r w:rsidRPr="00807A92">
        <w:rPr>
          <w:rFonts w:ascii="Times New Roman" w:eastAsia="Times New Roman" w:hAnsi="Times New Roman" w:cs="Times New Roman"/>
          <w:sz w:val="24"/>
          <w:szCs w:val="24"/>
          <w:lang w:eastAsia="it-IT"/>
        </w:rPr>
        <w:fldChar w:fldCharType="end"/>
      </w:r>
      <w:bookmarkEnd w:id="212"/>
      <w:r w:rsidRPr="00807A92">
        <w:rPr>
          <w:rFonts w:ascii="Times New Roman" w:eastAsia="Times New Roman" w:hAnsi="Times New Roman" w:cs="Times New Roman"/>
          <w:sz w:val="24"/>
          <w:szCs w:val="24"/>
          <w:lang w:eastAsia="it-IT"/>
        </w:rPr>
        <w:t>)</w:t>
      </w:r>
    </w:p>
    <w:p w14:paraId="497739F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13" w:name="point115"/>
      <w:r w:rsidRPr="00807A92">
        <w:rPr>
          <w:rFonts w:ascii="Times New Roman" w:eastAsia="Times New Roman" w:hAnsi="Times New Roman" w:cs="Times New Roman"/>
          <w:sz w:val="24"/>
          <w:szCs w:val="24"/>
          <w:lang w:eastAsia="it-IT"/>
        </w:rPr>
        <w:t>115.</w:t>
      </w:r>
      <w:bookmarkEnd w:id="213"/>
      <w:r w:rsidRPr="00807A92">
        <w:rPr>
          <w:rFonts w:ascii="Times New Roman" w:eastAsia="Times New Roman" w:hAnsi="Times New Roman" w:cs="Times New Roman"/>
          <w:sz w:val="24"/>
          <w:szCs w:val="24"/>
          <w:lang w:eastAsia="it-IT"/>
        </w:rPr>
        <w:t xml:space="preserve"> There are, however, two problems. First, since the third paragraph of Article 267 TFEU is not a rule ‘intended to confer rights on individuals’, the non-compliance with the obligation to refer </w:t>
      </w:r>
      <w:r w:rsidRPr="00807A92">
        <w:rPr>
          <w:rFonts w:ascii="Times New Roman" w:eastAsia="Times New Roman" w:hAnsi="Times New Roman" w:cs="Times New Roman"/>
          <w:sz w:val="24"/>
          <w:szCs w:val="24"/>
          <w:lang w:eastAsia="it-IT"/>
        </w:rPr>
        <w:lastRenderedPageBreak/>
        <w:t xml:space="preserve">cannot, </w:t>
      </w:r>
      <w:r w:rsidRPr="00807A92">
        <w:rPr>
          <w:rFonts w:ascii="Times New Roman" w:eastAsia="Times New Roman" w:hAnsi="Times New Roman" w:cs="Times New Roman"/>
          <w:i/>
          <w:iCs/>
          <w:sz w:val="24"/>
          <w:szCs w:val="24"/>
          <w:lang w:eastAsia="it-IT"/>
        </w:rPr>
        <w:t>on its own</w:t>
      </w:r>
      <w:r w:rsidRPr="00807A92">
        <w:rPr>
          <w:rFonts w:ascii="Times New Roman" w:eastAsia="Times New Roman" w:hAnsi="Times New Roman" w:cs="Times New Roman"/>
          <w:sz w:val="24"/>
          <w:szCs w:val="24"/>
          <w:lang w:eastAsia="it-IT"/>
        </w:rPr>
        <w:t xml:space="preserve">, trigger state liability. Second, irrespective of that fact,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criteria play no role in the assessment of whether or not there has been an infringement of other rules of EU law,</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w:t>
      </w:r>
      <w:bookmarkStart w:id="214" w:name="Footref99"/>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"Footnote99"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99</w:t>
      </w:r>
      <w:r w:rsidRPr="00807A92">
        <w:rPr>
          <w:rFonts w:ascii="Times New Roman" w:eastAsia="Times New Roman" w:hAnsi="Times New Roman" w:cs="Times New Roman"/>
          <w:sz w:val="24"/>
          <w:szCs w:val="24"/>
          <w:lang w:eastAsia="it-IT"/>
        </w:rPr>
        <w:fldChar w:fldCharType="end"/>
      </w:r>
      <w:bookmarkEnd w:id="214"/>
      <w:r w:rsidRPr="00807A92">
        <w:rPr>
          <w:rFonts w:ascii="Times New Roman" w:eastAsia="Times New Roman" w:hAnsi="Times New Roman" w:cs="Times New Roman"/>
          <w:sz w:val="24"/>
          <w:szCs w:val="24"/>
          <w:lang w:eastAsia="it-IT"/>
        </w:rPr>
        <w:t xml:space="preserve">) at least objectively speaking.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 xml:space="preserve">The standard in such situations is </w:t>
      </w:r>
      <w:r w:rsidRPr="00807A92">
        <w:rPr>
          <w:rFonts w:ascii="Times New Roman" w:eastAsia="Times New Roman" w:hAnsi="Times New Roman" w:cs="Times New Roman"/>
          <w:i/>
          <w:iCs/>
          <w:sz w:val="24"/>
          <w:szCs w:val="24"/>
          <w:lang w:eastAsia="it-IT"/>
        </w:rPr>
        <w:t>manifest infringement</w:t>
      </w:r>
      <w:r w:rsidRPr="00807A92">
        <w:rPr>
          <w:rFonts w:ascii="Times New Roman" w:eastAsia="Times New Roman" w:hAnsi="Times New Roman" w:cs="Times New Roman"/>
          <w:sz w:val="24"/>
          <w:szCs w:val="24"/>
          <w:lang w:eastAsia="it-IT"/>
        </w:rPr>
        <w:t xml:space="preserve"> of the applicable law that may lead to a </w:t>
      </w:r>
      <w:r w:rsidRPr="00807A92">
        <w:rPr>
          <w:rFonts w:ascii="Times New Roman" w:eastAsia="Times New Roman" w:hAnsi="Times New Roman" w:cs="Times New Roman"/>
          <w:i/>
          <w:iCs/>
          <w:sz w:val="24"/>
          <w:szCs w:val="24"/>
          <w:lang w:eastAsia="it-IT"/>
        </w:rPr>
        <w:t>sufficiently serious breach</w:t>
      </w:r>
      <w:r w:rsidRPr="00807A92">
        <w:rPr>
          <w:rFonts w:ascii="Times New Roman" w:eastAsia="Times New Roman" w:hAnsi="Times New Roman" w:cs="Times New Roman"/>
          <w:sz w:val="24"/>
          <w:szCs w:val="24"/>
          <w:lang w:eastAsia="it-IT"/>
        </w:rPr>
        <w:t>. (</w:t>
      </w:r>
      <w:bookmarkStart w:id="215" w:name="Footref100"/>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"Footnote100"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100</w:t>
      </w:r>
      <w:r w:rsidRPr="00807A92">
        <w:rPr>
          <w:rFonts w:ascii="Times New Roman" w:eastAsia="Times New Roman" w:hAnsi="Times New Roman" w:cs="Times New Roman"/>
          <w:sz w:val="24"/>
          <w:szCs w:val="24"/>
          <w:lang w:eastAsia="it-IT"/>
        </w:rPr>
        <w:fldChar w:fldCharType="end"/>
      </w:r>
      <w:bookmarkEnd w:id="215"/>
      <w:r w:rsidRPr="00807A92">
        <w:rPr>
          <w:rFonts w:ascii="Times New Roman" w:eastAsia="Times New Roman" w:hAnsi="Times New Roman" w:cs="Times New Roman"/>
          <w:sz w:val="24"/>
          <w:szCs w:val="24"/>
          <w:lang w:eastAsia="it-IT"/>
        </w:rPr>
        <w:t>)</w:t>
      </w:r>
    </w:p>
    <w:p w14:paraId="7DF8795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16" w:name="point116"/>
      <w:r w:rsidRPr="00807A92">
        <w:rPr>
          <w:rFonts w:ascii="Times New Roman" w:eastAsia="Times New Roman" w:hAnsi="Times New Roman" w:cs="Times New Roman"/>
          <w:sz w:val="24"/>
          <w:szCs w:val="24"/>
          <w:lang w:eastAsia="it-IT"/>
        </w:rPr>
        <w:t>116.</w:t>
      </w:r>
      <w:bookmarkEnd w:id="216"/>
      <w:r w:rsidRPr="00807A92">
        <w:rPr>
          <w:rFonts w:ascii="Times New Roman" w:eastAsia="Times New Roman" w:hAnsi="Times New Roman" w:cs="Times New Roman"/>
          <w:sz w:val="24"/>
          <w:szCs w:val="24"/>
          <w:lang w:eastAsia="it-IT"/>
        </w:rPr>
        <w:t> On the other hand, there is the infringement proceedings pursuant to Article 258 TFEU. What, for a number of years was possible only in theory, (</w:t>
      </w:r>
      <w:bookmarkStart w:id="217" w:name="Footref101"/>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"Footnote101"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101</w:t>
      </w:r>
      <w:r w:rsidRPr="00807A92">
        <w:rPr>
          <w:rFonts w:ascii="Times New Roman" w:eastAsia="Times New Roman" w:hAnsi="Times New Roman" w:cs="Times New Roman"/>
          <w:sz w:val="24"/>
          <w:szCs w:val="24"/>
          <w:lang w:eastAsia="it-IT"/>
        </w:rPr>
        <w:fldChar w:fldCharType="end"/>
      </w:r>
      <w:bookmarkEnd w:id="217"/>
      <w:r w:rsidRPr="00807A92">
        <w:rPr>
          <w:rFonts w:ascii="Times New Roman" w:eastAsia="Times New Roman" w:hAnsi="Times New Roman" w:cs="Times New Roman"/>
          <w:sz w:val="24"/>
          <w:szCs w:val="24"/>
          <w:lang w:eastAsia="it-IT"/>
        </w:rPr>
        <w:t xml:space="preserve">) was fully implemented in 2018. In its judgment in </w:t>
      </w:r>
      <w:r w:rsidRPr="00807A92">
        <w:rPr>
          <w:rFonts w:ascii="Times New Roman" w:eastAsia="Times New Roman" w:hAnsi="Times New Roman" w:cs="Times New Roman"/>
          <w:i/>
          <w:iCs/>
          <w:sz w:val="24"/>
          <w:szCs w:val="24"/>
          <w:lang w:eastAsia="it-IT"/>
        </w:rPr>
        <w:t xml:space="preserve">Commission </w:t>
      </w:r>
      <w:r w:rsidRPr="00807A92">
        <w:rPr>
          <w:rFonts w:ascii="Times New Roman" w:eastAsia="Times New Roman" w:hAnsi="Times New Roman" w:cs="Times New Roman"/>
          <w:sz w:val="24"/>
          <w:szCs w:val="24"/>
          <w:lang w:eastAsia="it-IT"/>
        </w:rPr>
        <w:t>v</w:t>
      </w:r>
      <w:r w:rsidRPr="00807A92">
        <w:rPr>
          <w:rFonts w:ascii="Times New Roman" w:eastAsia="Times New Roman" w:hAnsi="Times New Roman" w:cs="Times New Roman"/>
          <w:i/>
          <w:iCs/>
          <w:sz w:val="24"/>
          <w:szCs w:val="24"/>
          <w:lang w:eastAsia="it-IT"/>
        </w:rPr>
        <w:t xml:space="preserve"> France</w:t>
      </w:r>
      <w:r w:rsidRPr="00807A92">
        <w:rPr>
          <w:rFonts w:ascii="Times New Roman" w:eastAsia="Times New Roman" w:hAnsi="Times New Roman" w:cs="Times New Roman"/>
          <w:sz w:val="24"/>
          <w:szCs w:val="24"/>
          <w:lang w:eastAsia="it-IT"/>
        </w:rPr>
        <w:t>, (</w:t>
      </w:r>
      <w:bookmarkStart w:id="218" w:name="Footref102"/>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"Footnote102"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102</w:t>
      </w:r>
      <w:r w:rsidRPr="00807A92">
        <w:rPr>
          <w:rFonts w:ascii="Times New Roman" w:eastAsia="Times New Roman" w:hAnsi="Times New Roman" w:cs="Times New Roman"/>
          <w:sz w:val="24"/>
          <w:szCs w:val="24"/>
          <w:lang w:eastAsia="it-IT"/>
        </w:rPr>
        <w:fldChar w:fldCharType="end"/>
      </w:r>
      <w:bookmarkEnd w:id="218"/>
      <w:r w:rsidRPr="00807A92">
        <w:rPr>
          <w:rFonts w:ascii="Times New Roman" w:eastAsia="Times New Roman" w:hAnsi="Times New Roman" w:cs="Times New Roman"/>
          <w:sz w:val="24"/>
          <w:szCs w:val="24"/>
          <w:lang w:eastAsia="it-IT"/>
        </w:rPr>
        <w:t xml:space="preserve">) the Court found, in the operative part of the judgment, that a Member State was in breach of EU law </w:t>
      </w:r>
      <w:r w:rsidRPr="00807A92">
        <w:rPr>
          <w:rFonts w:ascii="Times New Roman" w:eastAsia="Times New Roman" w:hAnsi="Times New Roman" w:cs="Times New Roman"/>
          <w:i/>
          <w:iCs/>
          <w:sz w:val="24"/>
          <w:szCs w:val="24"/>
          <w:lang w:eastAsia="it-IT"/>
        </w:rPr>
        <w:t>specifically</w:t>
      </w:r>
      <w:r w:rsidRPr="00807A92">
        <w:rPr>
          <w:rFonts w:ascii="Times New Roman" w:eastAsia="Times New Roman" w:hAnsi="Times New Roman" w:cs="Times New Roman"/>
          <w:sz w:val="24"/>
          <w:szCs w:val="24"/>
          <w:lang w:eastAsia="it-IT"/>
        </w:rPr>
        <w:t xml:space="preserve"> for the failure of a last-instance court to make a (</w:t>
      </w:r>
      <w:r w:rsidRPr="00807A92">
        <w:rPr>
          <w:rFonts w:ascii="Times New Roman" w:eastAsia="Times New Roman" w:hAnsi="Times New Roman" w:cs="Times New Roman"/>
          <w:i/>
          <w:iCs/>
          <w:sz w:val="24"/>
          <w:szCs w:val="24"/>
          <w:lang w:eastAsia="it-IT"/>
        </w:rPr>
        <w:t>single</w:t>
      </w:r>
      <w:r w:rsidRPr="00807A92">
        <w:rPr>
          <w:rFonts w:ascii="Times New Roman" w:eastAsia="Times New Roman" w:hAnsi="Times New Roman" w:cs="Times New Roman"/>
          <w:sz w:val="24"/>
          <w:szCs w:val="24"/>
          <w:lang w:eastAsia="it-IT"/>
        </w:rPr>
        <w:t>) reference to the Court of Justice in order to fulfil their obligation to refer, under the third paragraph of Article 267 TFEU, in a situation where the interpretation of the substantive provisions of EU law in question was not so obvious as to leave no scope for doubt.</w:t>
      </w:r>
    </w:p>
    <w:p w14:paraId="40542E6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19" w:name="point117"/>
      <w:r w:rsidRPr="00807A92">
        <w:rPr>
          <w:rFonts w:ascii="Times New Roman" w:eastAsia="Times New Roman" w:hAnsi="Times New Roman" w:cs="Times New Roman"/>
          <w:sz w:val="24"/>
          <w:szCs w:val="24"/>
          <w:lang w:eastAsia="it-IT"/>
        </w:rPr>
        <w:t>117.</w:t>
      </w:r>
      <w:bookmarkEnd w:id="219"/>
      <w:r w:rsidRPr="00807A92">
        <w:rPr>
          <w:rFonts w:ascii="Times New Roman" w:eastAsia="Times New Roman" w:hAnsi="Times New Roman" w:cs="Times New Roman"/>
          <w:sz w:val="24"/>
          <w:szCs w:val="24"/>
          <w:lang w:eastAsia="it-IT"/>
        </w:rPr>
        <w:t xml:space="preserve"> In reaching that conclusion, the Court relied on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w:t>
      </w:r>
      <w:bookmarkStart w:id="220" w:name="Footref103"/>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"Footnote103"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103</w:t>
      </w:r>
      <w:r w:rsidRPr="00807A92">
        <w:rPr>
          <w:rFonts w:ascii="Times New Roman" w:eastAsia="Times New Roman" w:hAnsi="Times New Roman" w:cs="Times New Roman"/>
          <w:sz w:val="24"/>
          <w:szCs w:val="24"/>
          <w:lang w:eastAsia="it-IT"/>
        </w:rPr>
        <w:fldChar w:fldCharType="end"/>
      </w:r>
      <w:bookmarkEnd w:id="220"/>
      <w:r w:rsidRPr="00807A92">
        <w:rPr>
          <w:rFonts w:ascii="Times New Roman" w:eastAsia="Times New Roman" w:hAnsi="Times New Roman" w:cs="Times New Roman"/>
          <w:sz w:val="24"/>
          <w:szCs w:val="24"/>
          <w:lang w:eastAsia="it-IT"/>
        </w:rPr>
        <w:t>) or at least on its general requirement of there not being any reasonable doubt. The Court first noted that the Conseil d’État (Council of State) had chosen to depart from a previous judgment of the Court concerning the United Kingdom legislation on the ground that the British scheme in question was different from the French scheme ‘while it could not be certain that its reasoning would be equally obvious to the Court’. (</w:t>
      </w:r>
      <w:bookmarkStart w:id="221" w:name="Footref104"/>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"Footnote104"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104</w:t>
      </w:r>
      <w:r w:rsidRPr="00807A92">
        <w:rPr>
          <w:rFonts w:ascii="Times New Roman" w:eastAsia="Times New Roman" w:hAnsi="Times New Roman" w:cs="Times New Roman"/>
          <w:sz w:val="24"/>
          <w:szCs w:val="24"/>
          <w:lang w:eastAsia="it-IT"/>
        </w:rPr>
        <w:fldChar w:fldCharType="end"/>
      </w:r>
      <w:bookmarkEnd w:id="221"/>
      <w:r w:rsidRPr="00807A92">
        <w:rPr>
          <w:rFonts w:ascii="Times New Roman" w:eastAsia="Times New Roman" w:hAnsi="Times New Roman" w:cs="Times New Roman"/>
          <w:sz w:val="24"/>
          <w:szCs w:val="24"/>
          <w:lang w:eastAsia="it-IT"/>
        </w:rPr>
        <w:t>) The Court thus held that the absence of request for a preliminary ruling on the part of the Conseil d’État (Council of State) in two of its judgments ‘led that court to adopt, in those judgments, a solution based on an interpretation of the provisions of Articles 49 and 63 TFEU which is at variance with that of the present judgment, which implies that the existence of reasonable doubt concerning that interpretation could not be ruled out when the Conseil d’État (Council of State) delivered its ruling’. (</w:t>
      </w:r>
      <w:bookmarkStart w:id="222" w:name="Footref105"/>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"Footnote105"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105</w:t>
      </w:r>
      <w:r w:rsidRPr="00807A92">
        <w:rPr>
          <w:rFonts w:ascii="Times New Roman" w:eastAsia="Times New Roman" w:hAnsi="Times New Roman" w:cs="Times New Roman"/>
          <w:sz w:val="24"/>
          <w:szCs w:val="24"/>
          <w:lang w:eastAsia="it-IT"/>
        </w:rPr>
        <w:fldChar w:fldCharType="end"/>
      </w:r>
      <w:bookmarkEnd w:id="222"/>
      <w:r w:rsidRPr="00807A92">
        <w:rPr>
          <w:rFonts w:ascii="Times New Roman" w:eastAsia="Times New Roman" w:hAnsi="Times New Roman" w:cs="Times New Roman"/>
          <w:sz w:val="24"/>
          <w:szCs w:val="24"/>
          <w:lang w:eastAsia="it-IT"/>
        </w:rPr>
        <w:t>)</w:t>
      </w:r>
    </w:p>
    <w:p w14:paraId="78846AE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23" w:name="point118"/>
      <w:r w:rsidRPr="00807A92">
        <w:rPr>
          <w:rFonts w:ascii="Times New Roman" w:eastAsia="Times New Roman" w:hAnsi="Times New Roman" w:cs="Times New Roman"/>
          <w:sz w:val="24"/>
          <w:szCs w:val="24"/>
          <w:lang w:eastAsia="it-IT"/>
        </w:rPr>
        <w:t>118.</w:t>
      </w:r>
      <w:bookmarkEnd w:id="223"/>
      <w:r w:rsidRPr="00807A92">
        <w:rPr>
          <w:rFonts w:ascii="Times New Roman" w:eastAsia="Times New Roman" w:hAnsi="Times New Roman" w:cs="Times New Roman"/>
          <w:sz w:val="24"/>
          <w:szCs w:val="24"/>
          <w:lang w:eastAsia="it-IT"/>
        </w:rPr>
        <w:t xml:space="preserve"> There are three elements worth noting that relate to the latter judgment. First, in those infringement proceedings, it was undoubtedly for the Court itself to apply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However, in that judgment, the Court contented itself with merely stating that the general criterion was laid down in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 xml:space="preserve">without reviewing any of specific criteria or applying them. There is a conspicuous absence of discussion not only of any potentially contradictory judgments on the matter emerging from the courts of last instance of other Member States, or even of other French courts, but also of previous case-law of the Court itself on the matter, except for one precedent. </w:t>
      </w:r>
    </w:p>
    <w:p w14:paraId="0B05D8B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24" w:name="point119"/>
      <w:r w:rsidRPr="00807A92">
        <w:rPr>
          <w:rFonts w:ascii="Times New Roman" w:eastAsia="Times New Roman" w:hAnsi="Times New Roman" w:cs="Times New Roman"/>
          <w:sz w:val="24"/>
          <w:szCs w:val="24"/>
          <w:lang w:eastAsia="it-IT"/>
        </w:rPr>
        <w:t>119.</w:t>
      </w:r>
      <w:bookmarkEnd w:id="224"/>
      <w:r w:rsidRPr="00807A92">
        <w:rPr>
          <w:rFonts w:ascii="Times New Roman" w:eastAsia="Times New Roman" w:hAnsi="Times New Roman" w:cs="Times New Roman"/>
          <w:sz w:val="24"/>
          <w:szCs w:val="24"/>
          <w:lang w:eastAsia="it-IT"/>
        </w:rPr>
        <w:t xml:space="preserve"> Second, such effective affirmation of ‘stricter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at least in terms of its spirit, sits somewhat uneasily with the Court’s latest case-law on the same matter, as embodied, in particular, in the judgments in </w:t>
      </w:r>
      <w:r w:rsidRPr="00807A92">
        <w:rPr>
          <w:rFonts w:ascii="Times New Roman" w:eastAsia="Times New Roman" w:hAnsi="Times New Roman" w:cs="Times New Roman"/>
          <w:i/>
          <w:iCs/>
          <w:sz w:val="24"/>
          <w:szCs w:val="24"/>
          <w:lang w:eastAsia="it-IT"/>
        </w:rPr>
        <w:t xml:space="preserve">X and van Dijk </w:t>
      </w:r>
      <w:r w:rsidRPr="00807A92">
        <w:rPr>
          <w:rFonts w:ascii="Times New Roman" w:eastAsia="Times New Roman" w:hAnsi="Times New Roman" w:cs="Times New Roman"/>
          <w:sz w:val="24"/>
          <w:szCs w:val="24"/>
          <w:lang w:eastAsia="it-IT"/>
        </w:rPr>
        <w:t xml:space="preserve">and </w:t>
      </w:r>
      <w:r w:rsidRPr="00807A92">
        <w:rPr>
          <w:rFonts w:ascii="Times New Roman" w:eastAsia="Times New Roman" w:hAnsi="Times New Roman" w:cs="Times New Roman"/>
          <w:i/>
          <w:iCs/>
          <w:sz w:val="24"/>
          <w:szCs w:val="24"/>
          <w:lang w:eastAsia="it-IT"/>
        </w:rPr>
        <w:t>Ferreira Da Silva e Brito</w:t>
      </w:r>
      <w:r w:rsidRPr="00807A92">
        <w:rPr>
          <w:rFonts w:ascii="Times New Roman" w:eastAsia="Times New Roman" w:hAnsi="Times New Roman" w:cs="Times New Roman"/>
          <w:sz w:val="24"/>
          <w:szCs w:val="24"/>
          <w:lang w:eastAsia="it-IT"/>
        </w:rPr>
        <w:t xml:space="preserve"> discussed above. (</w:t>
      </w:r>
      <w:bookmarkStart w:id="225" w:name="Footref106"/>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"Footnote106"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106</w:t>
      </w:r>
      <w:r w:rsidRPr="00807A92">
        <w:rPr>
          <w:rFonts w:ascii="Times New Roman" w:eastAsia="Times New Roman" w:hAnsi="Times New Roman" w:cs="Times New Roman"/>
          <w:sz w:val="24"/>
          <w:szCs w:val="24"/>
          <w:lang w:eastAsia="it-IT"/>
        </w:rPr>
        <w:fldChar w:fldCharType="end"/>
      </w:r>
      <w:bookmarkEnd w:id="225"/>
      <w:r w:rsidRPr="00807A92">
        <w:rPr>
          <w:rFonts w:ascii="Times New Roman" w:eastAsia="Times New Roman" w:hAnsi="Times New Roman" w:cs="Times New Roman"/>
          <w:sz w:val="24"/>
          <w:szCs w:val="24"/>
          <w:lang w:eastAsia="it-IT"/>
        </w:rPr>
        <w:t xml:space="preserve">) Whereas a light touch appeared to be the new rule in </w:t>
      </w:r>
      <w:r w:rsidRPr="00807A92">
        <w:rPr>
          <w:rFonts w:ascii="Times New Roman" w:eastAsia="Times New Roman" w:hAnsi="Times New Roman" w:cs="Times New Roman"/>
          <w:i/>
          <w:iCs/>
          <w:sz w:val="24"/>
          <w:szCs w:val="24"/>
          <w:lang w:eastAsia="it-IT"/>
        </w:rPr>
        <w:t>X and van Dijk</w:t>
      </w:r>
      <w:r w:rsidRPr="00807A92">
        <w:rPr>
          <w:rFonts w:ascii="Times New Roman" w:eastAsia="Times New Roman" w:hAnsi="Times New Roman" w:cs="Times New Roman"/>
          <w:sz w:val="24"/>
          <w:szCs w:val="24"/>
          <w:lang w:eastAsia="it-IT"/>
        </w:rPr>
        <w:t xml:space="preserve"> in particular, that light touch suddenly turned into a tight grip once more. </w:t>
      </w:r>
    </w:p>
    <w:p w14:paraId="7A57B25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26" w:name="point120"/>
      <w:r w:rsidRPr="00807A92">
        <w:rPr>
          <w:rFonts w:ascii="Times New Roman" w:eastAsia="Times New Roman" w:hAnsi="Times New Roman" w:cs="Times New Roman"/>
          <w:sz w:val="24"/>
          <w:szCs w:val="24"/>
          <w:lang w:eastAsia="it-IT"/>
        </w:rPr>
        <w:t>120.</w:t>
      </w:r>
      <w:bookmarkEnd w:id="226"/>
      <w:r w:rsidRPr="00807A92">
        <w:rPr>
          <w:rFonts w:ascii="Times New Roman" w:eastAsia="Times New Roman" w:hAnsi="Times New Roman" w:cs="Times New Roman"/>
          <w:sz w:val="24"/>
          <w:szCs w:val="24"/>
          <w:lang w:eastAsia="it-IT"/>
        </w:rPr>
        <w:t> Third, all that is likely to leave certain actors with a somewhat bitter aftertaste in the form of a hardly defendable selectivity as to what is in fact being applied and enforced, as well as why, and how that application and enforcement takes place. This in no way suggests that the Commission would not have, as the indeed established case-law has it, complete discretion in deciding whether to bring an action under Article 258 TFEU. (</w:t>
      </w:r>
      <w:bookmarkStart w:id="227" w:name="Footref107"/>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"Footnote107"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107</w:t>
      </w:r>
      <w:r w:rsidRPr="00807A92">
        <w:rPr>
          <w:rFonts w:ascii="Times New Roman" w:eastAsia="Times New Roman" w:hAnsi="Times New Roman" w:cs="Times New Roman"/>
          <w:sz w:val="24"/>
          <w:szCs w:val="24"/>
          <w:lang w:eastAsia="it-IT"/>
        </w:rPr>
        <w:fldChar w:fldCharType="end"/>
      </w:r>
      <w:bookmarkEnd w:id="227"/>
      <w:r w:rsidRPr="00807A92">
        <w:rPr>
          <w:rFonts w:ascii="Times New Roman" w:eastAsia="Times New Roman" w:hAnsi="Times New Roman" w:cs="Times New Roman"/>
          <w:sz w:val="24"/>
          <w:szCs w:val="24"/>
          <w:lang w:eastAsia="it-IT"/>
        </w:rPr>
        <w:t xml:space="preserve">) It is also not intended to challenge the outcome of </w:t>
      </w:r>
      <w:r w:rsidRPr="00807A92">
        <w:rPr>
          <w:rFonts w:ascii="Times New Roman" w:eastAsia="Times New Roman" w:hAnsi="Times New Roman" w:cs="Times New Roman"/>
          <w:i/>
          <w:iCs/>
          <w:sz w:val="24"/>
          <w:szCs w:val="24"/>
          <w:lang w:eastAsia="it-IT"/>
        </w:rPr>
        <w:t xml:space="preserve">Commission </w:t>
      </w:r>
      <w:r w:rsidRPr="00807A92">
        <w:rPr>
          <w:rFonts w:ascii="Times New Roman" w:eastAsia="Times New Roman" w:hAnsi="Times New Roman" w:cs="Times New Roman"/>
          <w:sz w:val="24"/>
          <w:szCs w:val="24"/>
          <w:lang w:eastAsia="it-IT"/>
        </w:rPr>
        <w:t xml:space="preserve">v </w:t>
      </w:r>
      <w:r w:rsidRPr="00807A92">
        <w:rPr>
          <w:rFonts w:ascii="Times New Roman" w:eastAsia="Times New Roman" w:hAnsi="Times New Roman" w:cs="Times New Roman"/>
          <w:i/>
          <w:iCs/>
          <w:sz w:val="24"/>
          <w:szCs w:val="24"/>
          <w:lang w:eastAsia="it-IT"/>
        </w:rPr>
        <w:t>France</w:t>
      </w:r>
      <w:r w:rsidRPr="00807A92">
        <w:rPr>
          <w:rFonts w:ascii="Times New Roman" w:eastAsia="Times New Roman" w:hAnsi="Times New Roman" w:cs="Times New Roman"/>
          <w:sz w:val="24"/>
          <w:szCs w:val="24"/>
          <w:lang w:eastAsia="it-IT"/>
        </w:rPr>
        <w:t xml:space="preserve">: certainly, if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is now to be taken seriously, then there indeed was reasonable doubt as to the correct application of EU law in </w:t>
      </w:r>
      <w:r w:rsidRPr="00807A92">
        <w:rPr>
          <w:rFonts w:ascii="Times New Roman" w:eastAsia="Times New Roman" w:hAnsi="Times New Roman" w:cs="Times New Roman"/>
          <w:i/>
          <w:iCs/>
          <w:sz w:val="24"/>
          <w:szCs w:val="24"/>
          <w:lang w:eastAsia="it-IT"/>
        </w:rPr>
        <w:t xml:space="preserve">Commission </w:t>
      </w:r>
      <w:r w:rsidRPr="00807A92">
        <w:rPr>
          <w:rFonts w:ascii="Times New Roman" w:eastAsia="Times New Roman" w:hAnsi="Times New Roman" w:cs="Times New Roman"/>
          <w:sz w:val="24"/>
          <w:szCs w:val="24"/>
          <w:lang w:eastAsia="it-IT"/>
        </w:rPr>
        <w:t>v</w:t>
      </w:r>
      <w:r w:rsidRPr="00807A92">
        <w:rPr>
          <w:rFonts w:ascii="Times New Roman" w:eastAsia="Times New Roman" w:hAnsi="Times New Roman" w:cs="Times New Roman"/>
          <w:i/>
          <w:iCs/>
          <w:sz w:val="24"/>
          <w:szCs w:val="24"/>
          <w:lang w:eastAsia="it-IT"/>
        </w:rPr>
        <w:t xml:space="preserve"> France</w:t>
      </w:r>
      <w:r w:rsidRPr="00807A92">
        <w:rPr>
          <w:rFonts w:ascii="Times New Roman" w:eastAsia="Times New Roman" w:hAnsi="Times New Roman" w:cs="Times New Roman"/>
          <w:sz w:val="24"/>
          <w:szCs w:val="24"/>
          <w:lang w:eastAsia="it-IT"/>
        </w:rPr>
        <w:t>. (</w:t>
      </w:r>
      <w:bookmarkStart w:id="228" w:name="Footref108"/>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"Footnote108"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108</w:t>
      </w:r>
      <w:r w:rsidRPr="00807A92">
        <w:rPr>
          <w:rFonts w:ascii="Times New Roman" w:eastAsia="Times New Roman" w:hAnsi="Times New Roman" w:cs="Times New Roman"/>
          <w:sz w:val="24"/>
          <w:szCs w:val="24"/>
          <w:lang w:eastAsia="it-IT"/>
        </w:rPr>
        <w:fldChar w:fldCharType="end"/>
      </w:r>
      <w:bookmarkEnd w:id="228"/>
      <w:r w:rsidRPr="00807A92">
        <w:rPr>
          <w:rFonts w:ascii="Times New Roman" w:eastAsia="Times New Roman" w:hAnsi="Times New Roman" w:cs="Times New Roman"/>
          <w:sz w:val="24"/>
          <w:szCs w:val="24"/>
          <w:lang w:eastAsia="it-IT"/>
        </w:rPr>
        <w:t>)</w:t>
      </w:r>
    </w:p>
    <w:p w14:paraId="1161362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29" w:name="point121"/>
      <w:r w:rsidRPr="00807A92">
        <w:rPr>
          <w:rFonts w:ascii="Times New Roman" w:eastAsia="Times New Roman" w:hAnsi="Times New Roman" w:cs="Times New Roman"/>
          <w:sz w:val="24"/>
          <w:szCs w:val="24"/>
          <w:lang w:eastAsia="it-IT"/>
        </w:rPr>
        <w:t>121.</w:t>
      </w:r>
      <w:bookmarkEnd w:id="229"/>
      <w:r w:rsidRPr="00807A92">
        <w:rPr>
          <w:rFonts w:ascii="Times New Roman" w:eastAsia="Times New Roman" w:hAnsi="Times New Roman" w:cs="Times New Roman"/>
          <w:sz w:val="24"/>
          <w:szCs w:val="24"/>
          <w:lang w:eastAsia="it-IT"/>
        </w:rPr>
        <w:t xml:space="preserve"> The point is a different one: the overall lack of (horizontal) consistency in penalising the duty to refer under the third paragraph of Article 267 TFEU as a matter of EU law. The Court’s own case-law on the scope of that duty, certainly the more recent case-law, does not appear to be in line with the recently (re)discovered enforcement of that duty under Article 258 TFEU, and wholly </w:t>
      </w:r>
      <w:r w:rsidRPr="00807A92">
        <w:rPr>
          <w:rFonts w:ascii="Times New Roman" w:eastAsia="Times New Roman" w:hAnsi="Times New Roman" w:cs="Times New Roman"/>
          <w:sz w:val="24"/>
          <w:szCs w:val="24"/>
          <w:lang w:eastAsia="it-IT"/>
        </w:rPr>
        <w:lastRenderedPageBreak/>
        <w:t>disconnected from state liability. However, should these not be the facets of one and the same obligation to make a request for a preliminary ruling under the third paragraph of Article 267 TFEU?</w:t>
      </w:r>
    </w:p>
    <w:p w14:paraId="596756E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4.      </w:t>
      </w:r>
      <w:r w:rsidRPr="00807A92">
        <w:rPr>
          <w:rFonts w:ascii="Times New Roman" w:eastAsia="Times New Roman" w:hAnsi="Times New Roman" w:cs="Times New Roman"/>
          <w:b/>
          <w:bCs/>
          <w:i/>
          <w:iCs/>
          <w:sz w:val="24"/>
          <w:szCs w:val="24"/>
          <w:lang w:eastAsia="it-IT"/>
        </w:rPr>
        <w:t>The evolution of EU law and the judicial system</w:t>
      </w:r>
    </w:p>
    <w:p w14:paraId="6C7DA27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30" w:name="point122"/>
      <w:r w:rsidRPr="00807A92">
        <w:rPr>
          <w:rFonts w:ascii="Times New Roman" w:eastAsia="Times New Roman" w:hAnsi="Times New Roman" w:cs="Times New Roman"/>
          <w:sz w:val="24"/>
          <w:szCs w:val="24"/>
          <w:lang w:eastAsia="it-IT"/>
        </w:rPr>
        <w:t>122.</w:t>
      </w:r>
      <w:bookmarkEnd w:id="230"/>
      <w:r w:rsidRPr="00807A92">
        <w:rPr>
          <w:rFonts w:ascii="Times New Roman" w:eastAsia="Times New Roman" w:hAnsi="Times New Roman" w:cs="Times New Roman"/>
          <w:sz w:val="24"/>
          <w:szCs w:val="24"/>
          <w:lang w:eastAsia="it-IT"/>
        </w:rPr>
        <w:t xml:space="preserve"> I do not think that it is necessary to dwell in any great detail on the obvious: just how much the European Union has changed over the past 40 years. With one recent exception, membership has grown continuously. So too have the number of official languages and the number of courts able to seise the Court of Justice. At present, the scope and breadth of EU law itself is simply unparalleled. Following the completion of the internal market and no fewer than five successive Treaty amendments, it has become difficult to find an area for which EU legislation is not available or in which the interpretative help of the Court is not needed. Those factors lead to a staggering number of new requests for a preliminary ruling, while the judicial resources of the Court of Justice are not limitless. </w:t>
      </w:r>
    </w:p>
    <w:p w14:paraId="2ACFE66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31" w:name="point123"/>
      <w:r w:rsidRPr="00807A92">
        <w:rPr>
          <w:rFonts w:ascii="Times New Roman" w:eastAsia="Times New Roman" w:hAnsi="Times New Roman" w:cs="Times New Roman"/>
          <w:sz w:val="24"/>
          <w:szCs w:val="24"/>
          <w:lang w:eastAsia="it-IT"/>
        </w:rPr>
        <w:t>123.</w:t>
      </w:r>
      <w:bookmarkEnd w:id="231"/>
      <w:r w:rsidRPr="00807A92">
        <w:rPr>
          <w:rFonts w:ascii="Times New Roman" w:eastAsia="Times New Roman" w:hAnsi="Times New Roman" w:cs="Times New Roman"/>
          <w:sz w:val="24"/>
          <w:szCs w:val="24"/>
          <w:lang w:eastAsia="it-IT"/>
        </w:rPr>
        <w:t xml:space="preserve"> Nevertheless, in the midst of this vastly altered legal landscape stands the motionless Titan of a long bygone era,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insisting that references be made by courts of last instance in every case where any form of reasonable doubt exists. I do not think that it is necessary to go through all the systemic changes, one by one, in order to demonstrate how they alter the input configuration for the logic of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w:t>
      </w:r>
      <w:bookmarkStart w:id="232" w:name="Footref109"/>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"Footnote109"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109</w:t>
      </w:r>
      <w:r w:rsidRPr="00807A92">
        <w:rPr>
          <w:rFonts w:ascii="Times New Roman" w:eastAsia="Times New Roman" w:hAnsi="Times New Roman" w:cs="Times New Roman"/>
          <w:sz w:val="24"/>
          <w:szCs w:val="24"/>
          <w:lang w:eastAsia="it-IT"/>
        </w:rPr>
        <w:fldChar w:fldCharType="end"/>
      </w:r>
      <w:bookmarkEnd w:id="232"/>
      <w:r w:rsidRPr="00807A92">
        <w:rPr>
          <w:rFonts w:ascii="Times New Roman" w:eastAsia="Times New Roman" w:hAnsi="Times New Roman" w:cs="Times New Roman"/>
          <w:sz w:val="24"/>
          <w:szCs w:val="24"/>
          <w:lang w:eastAsia="it-IT"/>
        </w:rPr>
        <w:t xml:space="preserve">) Instead, in conclusion, I prefer to point to a different, deeper matter. </w:t>
      </w:r>
    </w:p>
    <w:p w14:paraId="04C62E5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33" w:name="point124"/>
      <w:r w:rsidRPr="00807A92">
        <w:rPr>
          <w:rFonts w:ascii="Times New Roman" w:eastAsia="Times New Roman" w:hAnsi="Times New Roman" w:cs="Times New Roman"/>
          <w:sz w:val="24"/>
          <w:szCs w:val="24"/>
          <w:lang w:eastAsia="it-IT"/>
        </w:rPr>
        <w:t>124.</w:t>
      </w:r>
      <w:bookmarkEnd w:id="233"/>
      <w:r w:rsidRPr="00807A92">
        <w:rPr>
          <w:rFonts w:ascii="Times New Roman" w:eastAsia="Times New Roman" w:hAnsi="Times New Roman" w:cs="Times New Roman"/>
          <w:sz w:val="24"/>
          <w:szCs w:val="24"/>
          <w:lang w:eastAsia="it-IT"/>
        </w:rPr>
        <w:t xml:space="preserve"> As the environment has changed and the system has matured, the nature of the preliminary rulings procedure has evolved as well. A procedure originally conceived as being one of partnership and judicial cooperation amongst equals has gradually and rather inevitably developed into one which places greater emphasis on precedent building for the purpose of systemic uniformity. Certainly, the language of ‘assistance’ and ‘partnership’ still remains, but the more long-standing and careful observers of the system have noticed a number of vertical elements gradually being introduced. </w:t>
      </w:r>
    </w:p>
    <w:p w14:paraId="41EDB42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34" w:name="point125"/>
      <w:r w:rsidRPr="00807A92">
        <w:rPr>
          <w:rFonts w:ascii="Times New Roman" w:eastAsia="Times New Roman" w:hAnsi="Times New Roman" w:cs="Times New Roman"/>
          <w:sz w:val="24"/>
          <w:szCs w:val="24"/>
          <w:lang w:eastAsia="it-IT"/>
        </w:rPr>
        <w:t>125.</w:t>
      </w:r>
      <w:bookmarkEnd w:id="234"/>
      <w:r w:rsidRPr="00807A92">
        <w:rPr>
          <w:rFonts w:ascii="Times New Roman" w:eastAsia="Times New Roman" w:hAnsi="Times New Roman" w:cs="Times New Roman"/>
          <w:sz w:val="24"/>
          <w:szCs w:val="24"/>
          <w:lang w:eastAsia="it-IT"/>
        </w:rPr>
        <w:t xml:space="preserve"> This places greater emphasis on the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macro (or public) purpose of the adjudication of the Court in the form of ensuring uniform interpretation and further development of the law. Certainly, there always is, and always will be, the individual case and the more micro (or private) dimension of a litigation. However, increasingly, a fortiori in a procedure such as the preliminary ruling procedure, where the facts and the individual case are for the referring court to settle, the focus shifts beyond the specific case file.</w:t>
      </w:r>
    </w:p>
    <w:p w14:paraId="5724F42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35" w:name="point126"/>
      <w:r w:rsidRPr="00807A92">
        <w:rPr>
          <w:rFonts w:ascii="Times New Roman" w:eastAsia="Times New Roman" w:hAnsi="Times New Roman" w:cs="Times New Roman"/>
          <w:sz w:val="24"/>
          <w:szCs w:val="24"/>
          <w:lang w:eastAsia="it-IT"/>
        </w:rPr>
        <w:t>126.</w:t>
      </w:r>
      <w:bookmarkEnd w:id="235"/>
      <w:r w:rsidRPr="00807A92">
        <w:rPr>
          <w:rFonts w:ascii="Times New Roman" w:eastAsia="Times New Roman" w:hAnsi="Times New Roman" w:cs="Times New Roman"/>
          <w:sz w:val="24"/>
          <w:szCs w:val="24"/>
          <w:lang w:eastAsia="it-IT"/>
        </w:rPr>
        <w:t> To make another systemic parallel: the recently introduced Article 58a of the Statute of the Court of Justice of the European Union established a filtering mechanism for appeal in certain areas from the General Court to the Court of Justice. Any such appeal shall not proceed to an examination on the merits unless the Court of Justice decides that it should be allowed to do so because it raises ‘an issue that is significant with respect to the unity, consistency or development of Union law’. (</w:t>
      </w:r>
      <w:bookmarkStart w:id="236" w:name="Footref110"/>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"Footnote110"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110</w:t>
      </w:r>
      <w:r w:rsidRPr="00807A92">
        <w:rPr>
          <w:rFonts w:ascii="Times New Roman" w:eastAsia="Times New Roman" w:hAnsi="Times New Roman" w:cs="Times New Roman"/>
          <w:sz w:val="24"/>
          <w:szCs w:val="24"/>
          <w:lang w:eastAsia="it-IT"/>
        </w:rPr>
        <w:fldChar w:fldCharType="end"/>
      </w:r>
      <w:bookmarkEnd w:id="236"/>
      <w:r w:rsidRPr="00807A92">
        <w:rPr>
          <w:rFonts w:ascii="Times New Roman" w:eastAsia="Times New Roman" w:hAnsi="Times New Roman" w:cs="Times New Roman"/>
          <w:sz w:val="24"/>
          <w:szCs w:val="24"/>
          <w:lang w:eastAsia="it-IT"/>
        </w:rPr>
        <w:t xml:space="preserve">) If such considerations are valid with regard to direct actions, in which only the Court of Justice of the European Union being the exclusive judge, and hence the litigation before both EU Courts is primarily a matter for settling the individual case, should the same logic not be applicable a fortiori to preliminary rulings? </w:t>
      </w:r>
    </w:p>
    <w:p w14:paraId="3FB6D6D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37" w:name="point127"/>
      <w:r w:rsidRPr="00807A92">
        <w:rPr>
          <w:rFonts w:ascii="Times New Roman" w:eastAsia="Times New Roman" w:hAnsi="Times New Roman" w:cs="Times New Roman"/>
          <w:sz w:val="24"/>
          <w:szCs w:val="24"/>
          <w:lang w:eastAsia="it-IT"/>
        </w:rPr>
        <w:t>127.</w:t>
      </w:r>
      <w:bookmarkEnd w:id="237"/>
      <w:r w:rsidRPr="00807A92">
        <w:rPr>
          <w:rFonts w:ascii="Times New Roman" w:eastAsia="Times New Roman" w:hAnsi="Times New Roman" w:cs="Times New Roman"/>
          <w:sz w:val="24"/>
          <w:szCs w:val="24"/>
          <w:lang w:eastAsia="it-IT"/>
        </w:rPr>
        <w:t xml:space="preserve"> Finally, maturation of a judicial system also implies a maturing of its constituent parts. Today, national courts are much more familiar with EU law in general and with the preliminary rulings procedure in particular. There are, and there will always be, individual exceptions. However, a potential (reluctant) tree should not be allowed to overshadow the (compliant) forest. National </w:t>
      </w:r>
      <w:r w:rsidRPr="00807A92">
        <w:rPr>
          <w:rFonts w:ascii="Times New Roman" w:eastAsia="Times New Roman" w:hAnsi="Times New Roman" w:cs="Times New Roman"/>
          <w:sz w:val="24"/>
          <w:szCs w:val="24"/>
          <w:lang w:eastAsia="it-IT"/>
        </w:rPr>
        <w:lastRenderedPageBreak/>
        <w:t xml:space="preserve">courts of last instance, especially those structurally tasked with ensuring unity and uniform application of the law within their respective jurisdictions, have been privileged partners of the Court in identifying cases with structural importance for the EU legal order. Should (the often rather asserted than actual) mutual trust not also be of relevance vertically? </w:t>
      </w:r>
    </w:p>
    <w:p w14:paraId="645D57D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38" w:name="point128"/>
      <w:r w:rsidRPr="00807A92">
        <w:rPr>
          <w:rFonts w:ascii="Times New Roman" w:eastAsia="Times New Roman" w:hAnsi="Times New Roman" w:cs="Times New Roman"/>
          <w:sz w:val="24"/>
          <w:szCs w:val="24"/>
          <w:lang w:eastAsia="it-IT"/>
        </w:rPr>
        <w:t>128.</w:t>
      </w:r>
      <w:bookmarkEnd w:id="238"/>
      <w:r w:rsidRPr="00807A92">
        <w:rPr>
          <w:rFonts w:ascii="Times New Roman" w:eastAsia="Times New Roman" w:hAnsi="Times New Roman" w:cs="Times New Roman"/>
          <w:sz w:val="24"/>
          <w:szCs w:val="24"/>
          <w:lang w:eastAsia="it-IT"/>
        </w:rPr>
        <w:t xml:space="preserve"> The fact that the national courts of last instance are able to handle the preliminary rulings procedure is, at present, in my view, evidenced in a rather unorthodox way: namely that they are not following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Heretical as it may sound, by exercising self-restraint and discretion incompatible with the criteria set out by the Court in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national courts of last instance are in fact demonstrating a very good understanding of the true nature of the system. One may only imagine the reverse scenario, in which (some of) the national courts of last instance were to embrace the approach of the Good Soldier Švejk, (</w:t>
      </w:r>
      <w:bookmarkStart w:id="239" w:name="Footref111"/>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"Footnote111"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111</w:t>
      </w:r>
      <w:r w:rsidRPr="00807A92">
        <w:rPr>
          <w:rFonts w:ascii="Times New Roman" w:eastAsia="Times New Roman" w:hAnsi="Times New Roman" w:cs="Times New Roman"/>
          <w:sz w:val="24"/>
          <w:szCs w:val="24"/>
          <w:lang w:eastAsia="it-IT"/>
        </w:rPr>
        <w:fldChar w:fldCharType="end"/>
      </w:r>
      <w:bookmarkEnd w:id="239"/>
      <w:r w:rsidRPr="00807A92">
        <w:rPr>
          <w:rFonts w:ascii="Times New Roman" w:eastAsia="Times New Roman" w:hAnsi="Times New Roman" w:cs="Times New Roman"/>
          <w:sz w:val="24"/>
          <w:szCs w:val="24"/>
          <w:lang w:eastAsia="it-IT"/>
        </w:rPr>
        <w:t xml:space="preserve">) and were indeed to apply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to the letter to all cases before them. The annual docket of the Court of Justice would suddenly have several more zeros attached at the end and the system would collapse within a short period. </w:t>
      </w:r>
    </w:p>
    <w:p w14:paraId="6C009DF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5.      </w:t>
      </w:r>
      <w:r w:rsidRPr="00807A92">
        <w:rPr>
          <w:rFonts w:ascii="Times New Roman" w:eastAsia="Times New Roman" w:hAnsi="Times New Roman" w:cs="Times New Roman"/>
          <w:b/>
          <w:bCs/>
          <w:i/>
          <w:iCs/>
          <w:sz w:val="24"/>
          <w:szCs w:val="24"/>
          <w:lang w:eastAsia="it-IT"/>
        </w:rPr>
        <w:t>Interim summary</w:t>
      </w:r>
    </w:p>
    <w:p w14:paraId="6EB9D18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40" w:name="point129"/>
      <w:r w:rsidRPr="00807A92">
        <w:rPr>
          <w:rFonts w:ascii="Times New Roman" w:eastAsia="Times New Roman" w:hAnsi="Times New Roman" w:cs="Times New Roman"/>
          <w:sz w:val="24"/>
          <w:szCs w:val="24"/>
          <w:lang w:eastAsia="it-IT"/>
        </w:rPr>
        <w:t>129.</w:t>
      </w:r>
      <w:bookmarkEnd w:id="240"/>
      <w:r w:rsidRPr="00807A92">
        <w:rPr>
          <w:rFonts w:ascii="Times New Roman" w:eastAsia="Times New Roman" w:hAnsi="Times New Roman" w:cs="Times New Roman"/>
          <w:sz w:val="24"/>
          <w:szCs w:val="24"/>
          <w:lang w:eastAsia="it-IT"/>
        </w:rPr>
        <w:t xml:space="preserve"> Not only has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been problematic in terms of its feasibility, but above all (or before that) it was mistakenly conceptualised. The nature of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exceptions does not match the nature of the </w:t>
      </w:r>
      <w:r w:rsidRPr="00807A92">
        <w:rPr>
          <w:rFonts w:ascii="Times New Roman" w:eastAsia="Times New Roman" w:hAnsi="Times New Roman" w:cs="Times New Roman"/>
          <w:i/>
          <w:iCs/>
          <w:sz w:val="24"/>
          <w:szCs w:val="24"/>
          <w:lang w:eastAsia="it-IT"/>
        </w:rPr>
        <w:t>Hoffmann-Laroche</w:t>
      </w:r>
      <w:r w:rsidRPr="00807A92">
        <w:rPr>
          <w:rFonts w:ascii="Times New Roman" w:eastAsia="Times New Roman" w:hAnsi="Times New Roman" w:cs="Times New Roman"/>
          <w:sz w:val="24"/>
          <w:szCs w:val="24"/>
          <w:lang w:eastAsia="it-IT"/>
        </w:rPr>
        <w:t xml:space="preserve"> duty to refer that it was supposed to enforce. A duty which was established in order to ensure the uniform interpretation of the case-law across the Union cannot be made subject to the absence of any subjective doubts as to the correct application of EU law in the specific case. </w:t>
      </w:r>
    </w:p>
    <w:p w14:paraId="69A8AB3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41" w:name="point130"/>
      <w:r w:rsidRPr="00807A92">
        <w:rPr>
          <w:rFonts w:ascii="Times New Roman" w:eastAsia="Times New Roman" w:hAnsi="Times New Roman" w:cs="Times New Roman"/>
          <w:sz w:val="24"/>
          <w:szCs w:val="24"/>
          <w:lang w:eastAsia="it-IT"/>
        </w:rPr>
        <w:t>130.</w:t>
      </w:r>
      <w:bookmarkEnd w:id="241"/>
      <w:r w:rsidRPr="00807A92">
        <w:rPr>
          <w:rFonts w:ascii="Times New Roman" w:eastAsia="Times New Roman" w:hAnsi="Times New Roman" w:cs="Times New Roman"/>
          <w:sz w:val="24"/>
          <w:szCs w:val="24"/>
          <w:lang w:eastAsia="it-IT"/>
        </w:rPr>
        <w:t xml:space="preserve"> All the other issues outlined in this section are partly the consequence of that conceptual mismatch, while adding problems of their own. The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criteria are thus not being applied either by the Court of Justice itself, or by the national courts, including those national or international jurisdictions that are actually enforcing them.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criteria also remain disconnected from other EU law methods of enforcing the obligation to refer that is incumbent on courts of last instance. Such considerations are, in a way, hardly surprising: since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(as it stands) cannot be reasonably enforced, other yardsticks must be introduced. </w:t>
      </w:r>
    </w:p>
    <w:p w14:paraId="06BD689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D.      </w:t>
      </w:r>
      <w:r w:rsidRPr="00807A92">
        <w:rPr>
          <w:rFonts w:ascii="Times New Roman" w:eastAsia="Times New Roman" w:hAnsi="Times New Roman" w:cs="Times New Roman"/>
          <w:b/>
          <w:bCs/>
          <w:sz w:val="24"/>
          <w:szCs w:val="24"/>
          <w:lang w:eastAsia="it-IT"/>
        </w:rPr>
        <w:t>The proposal</w:t>
      </w:r>
    </w:p>
    <w:p w14:paraId="2B61921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42" w:name="point131"/>
      <w:r w:rsidRPr="00807A92">
        <w:rPr>
          <w:rFonts w:ascii="Times New Roman" w:eastAsia="Times New Roman" w:hAnsi="Times New Roman" w:cs="Times New Roman"/>
          <w:sz w:val="24"/>
          <w:szCs w:val="24"/>
          <w:lang w:eastAsia="it-IT"/>
        </w:rPr>
        <w:t>131.</w:t>
      </w:r>
      <w:bookmarkEnd w:id="242"/>
      <w:r w:rsidRPr="00807A92">
        <w:rPr>
          <w:rFonts w:ascii="Times New Roman" w:eastAsia="Times New Roman" w:hAnsi="Times New Roman" w:cs="Times New Roman"/>
          <w:sz w:val="24"/>
          <w:szCs w:val="24"/>
          <w:lang w:eastAsia="it-IT"/>
        </w:rPr>
        <w:t xml:space="preserve"> In my view, the Court should, in the first step, re-affirm the purpose and the scope of the duty to refer under the third paragraph of Article 267 TFEU as stated already in </w:t>
      </w:r>
      <w:r w:rsidRPr="00807A92">
        <w:rPr>
          <w:rFonts w:ascii="Times New Roman" w:eastAsia="Times New Roman" w:hAnsi="Times New Roman" w:cs="Times New Roman"/>
          <w:i/>
          <w:iCs/>
          <w:sz w:val="24"/>
          <w:szCs w:val="24"/>
          <w:lang w:eastAsia="it-IT"/>
        </w:rPr>
        <w:t>Hoffmann-Laroche</w:t>
      </w:r>
      <w:r w:rsidRPr="00807A92">
        <w:rPr>
          <w:rFonts w:ascii="Times New Roman" w:eastAsia="Times New Roman" w:hAnsi="Times New Roman" w:cs="Times New Roman"/>
          <w:sz w:val="24"/>
          <w:szCs w:val="24"/>
          <w:lang w:eastAsia="it-IT"/>
        </w:rPr>
        <w:t xml:space="preserve">. In the second step, however,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must be revisited in order for the possible exceptions to match that duty. </w:t>
      </w:r>
    </w:p>
    <w:p w14:paraId="592E492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43" w:name="point132"/>
      <w:r w:rsidRPr="00807A92">
        <w:rPr>
          <w:rFonts w:ascii="Times New Roman" w:eastAsia="Times New Roman" w:hAnsi="Times New Roman" w:cs="Times New Roman"/>
          <w:sz w:val="24"/>
          <w:szCs w:val="24"/>
          <w:lang w:eastAsia="it-IT"/>
        </w:rPr>
        <w:t>132.</w:t>
      </w:r>
      <w:bookmarkEnd w:id="243"/>
      <w:r w:rsidRPr="00807A92">
        <w:rPr>
          <w:rFonts w:ascii="Times New Roman" w:eastAsia="Times New Roman" w:hAnsi="Times New Roman" w:cs="Times New Roman"/>
          <w:sz w:val="24"/>
          <w:szCs w:val="24"/>
          <w:lang w:eastAsia="it-IT"/>
        </w:rPr>
        <w:t> </w:t>
      </w:r>
      <w:r w:rsidRPr="00807A92">
        <w:rPr>
          <w:rFonts w:ascii="Times New Roman" w:eastAsia="Times New Roman" w:hAnsi="Times New Roman" w:cs="Times New Roman"/>
          <w:i/>
          <w:iCs/>
          <w:sz w:val="24"/>
          <w:szCs w:val="24"/>
          <w:lang w:eastAsia="it-IT"/>
        </w:rPr>
        <w:t>Hoffmann-Laroche</w:t>
      </w:r>
      <w:r w:rsidRPr="00807A92">
        <w:rPr>
          <w:rFonts w:ascii="Times New Roman" w:eastAsia="Times New Roman" w:hAnsi="Times New Roman" w:cs="Times New Roman"/>
          <w:sz w:val="24"/>
          <w:szCs w:val="24"/>
          <w:lang w:eastAsia="it-IT"/>
        </w:rPr>
        <w:t xml:space="preserve"> stated that the aim of the obligation to submit a reference is ‘to prevent a body of national case-law that is not in accordance with the rules of EU law from being established in any of the Member States’. (</w:t>
      </w:r>
      <w:bookmarkStart w:id="244" w:name="Footref112"/>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"Footnote112"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112</w:t>
      </w:r>
      <w:r w:rsidRPr="00807A92">
        <w:rPr>
          <w:rFonts w:ascii="Times New Roman" w:eastAsia="Times New Roman" w:hAnsi="Times New Roman" w:cs="Times New Roman"/>
          <w:sz w:val="24"/>
          <w:szCs w:val="24"/>
          <w:lang w:eastAsia="it-IT"/>
        </w:rPr>
        <w:fldChar w:fldCharType="end"/>
      </w:r>
      <w:bookmarkEnd w:id="244"/>
      <w:r w:rsidRPr="00807A92">
        <w:rPr>
          <w:rFonts w:ascii="Times New Roman" w:eastAsia="Times New Roman" w:hAnsi="Times New Roman" w:cs="Times New Roman"/>
          <w:sz w:val="24"/>
          <w:szCs w:val="24"/>
          <w:lang w:eastAsia="it-IT"/>
        </w:rPr>
        <w:t xml:space="preserve">) Following that logic, three points can be singled out. First, what shall be achieved is uniform interpretation, not correct application. Second, the focus shall be on ‘a body of case-law’, not on the correctness of the outcome in every single case. Third, it concerns case-law divergences within any of the Member States and of course, a fortiori, across the European Union. Logically, both types of divergence must be avoided: from the point of view of systemic coherence of EU law, if one Member State or parts of it, or even a system of jurisdiction within that Member State, were to operate according to rules other than those applied elsewhere in the European Union, then there would be no uniform interpretation within the Union. </w:t>
      </w:r>
    </w:p>
    <w:p w14:paraId="5FB9645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45" w:name="point133"/>
      <w:r w:rsidRPr="00807A92">
        <w:rPr>
          <w:rFonts w:ascii="Times New Roman" w:eastAsia="Times New Roman" w:hAnsi="Times New Roman" w:cs="Times New Roman"/>
          <w:sz w:val="24"/>
          <w:szCs w:val="24"/>
          <w:lang w:eastAsia="it-IT"/>
        </w:rPr>
        <w:lastRenderedPageBreak/>
        <w:t>133.</w:t>
      </w:r>
      <w:bookmarkEnd w:id="245"/>
      <w:r w:rsidRPr="00807A92">
        <w:rPr>
          <w:rFonts w:ascii="Times New Roman" w:eastAsia="Times New Roman" w:hAnsi="Times New Roman" w:cs="Times New Roman"/>
          <w:sz w:val="24"/>
          <w:szCs w:val="24"/>
          <w:lang w:eastAsia="it-IT"/>
        </w:rPr>
        <w:t> In other words, the focus of the duty to refer must change, from there being no</w:t>
      </w:r>
      <w:r w:rsidRPr="00807A92">
        <w:rPr>
          <w:rFonts w:ascii="Times New Roman" w:eastAsia="Times New Roman" w:hAnsi="Times New Roman" w:cs="Times New Roman"/>
          <w:i/>
          <w:iCs/>
          <w:sz w:val="24"/>
          <w:szCs w:val="24"/>
          <w:lang w:eastAsia="it-IT"/>
        </w:rPr>
        <w:t xml:space="preserve"> subjective</w:t>
      </w:r>
      <w:r w:rsidRPr="00807A92">
        <w:rPr>
          <w:rFonts w:ascii="Times New Roman" w:eastAsia="Times New Roman" w:hAnsi="Times New Roman" w:cs="Times New Roman"/>
          <w:sz w:val="24"/>
          <w:szCs w:val="24"/>
          <w:lang w:eastAsia="it-IT"/>
        </w:rPr>
        <w:t xml:space="preserve"> reasonable doubt as to the correct </w:t>
      </w:r>
      <w:r w:rsidRPr="00807A92">
        <w:rPr>
          <w:rFonts w:ascii="Times New Roman" w:eastAsia="Times New Roman" w:hAnsi="Times New Roman" w:cs="Times New Roman"/>
          <w:i/>
          <w:iCs/>
          <w:sz w:val="24"/>
          <w:szCs w:val="24"/>
          <w:lang w:eastAsia="it-IT"/>
        </w:rPr>
        <w:t xml:space="preserve">application </w:t>
      </w:r>
      <w:r w:rsidRPr="00807A92">
        <w:rPr>
          <w:rFonts w:ascii="Times New Roman" w:eastAsia="Times New Roman" w:hAnsi="Times New Roman" w:cs="Times New Roman"/>
          <w:sz w:val="24"/>
          <w:szCs w:val="24"/>
          <w:lang w:eastAsia="it-IT"/>
        </w:rPr>
        <w:t xml:space="preserve">of EU law in respect of the outcome of the </w:t>
      </w:r>
      <w:r w:rsidRPr="00807A92">
        <w:rPr>
          <w:rFonts w:ascii="Times New Roman" w:eastAsia="Times New Roman" w:hAnsi="Times New Roman" w:cs="Times New Roman"/>
          <w:i/>
          <w:iCs/>
          <w:sz w:val="24"/>
          <w:szCs w:val="24"/>
          <w:lang w:eastAsia="it-IT"/>
        </w:rPr>
        <w:t xml:space="preserve">specific </w:t>
      </w:r>
      <w:r w:rsidRPr="00807A92">
        <w:rPr>
          <w:rFonts w:ascii="Times New Roman" w:eastAsia="Times New Roman" w:hAnsi="Times New Roman" w:cs="Times New Roman"/>
          <w:sz w:val="24"/>
          <w:szCs w:val="24"/>
          <w:lang w:eastAsia="it-IT"/>
        </w:rPr>
        <w:t xml:space="preserve">case, to there being, an </w:t>
      </w:r>
      <w:r w:rsidRPr="00807A92">
        <w:rPr>
          <w:rFonts w:ascii="Times New Roman" w:eastAsia="Times New Roman" w:hAnsi="Times New Roman" w:cs="Times New Roman"/>
          <w:i/>
          <w:iCs/>
          <w:sz w:val="24"/>
          <w:szCs w:val="24"/>
          <w:lang w:eastAsia="it-IT"/>
        </w:rPr>
        <w:t xml:space="preserve">objective </w:t>
      </w:r>
      <w:r w:rsidRPr="00807A92">
        <w:rPr>
          <w:rFonts w:ascii="Times New Roman" w:eastAsia="Times New Roman" w:hAnsi="Times New Roman" w:cs="Times New Roman"/>
          <w:sz w:val="24"/>
          <w:szCs w:val="24"/>
          <w:lang w:eastAsia="it-IT"/>
        </w:rPr>
        <w:t xml:space="preserve">divergence detected in the </w:t>
      </w:r>
      <w:r w:rsidRPr="00807A92">
        <w:rPr>
          <w:rFonts w:ascii="Times New Roman" w:eastAsia="Times New Roman" w:hAnsi="Times New Roman" w:cs="Times New Roman"/>
          <w:i/>
          <w:iCs/>
          <w:sz w:val="24"/>
          <w:szCs w:val="24"/>
          <w:lang w:eastAsia="it-IT"/>
        </w:rPr>
        <w:t>case-law</w:t>
      </w:r>
      <w:r w:rsidRPr="00807A92">
        <w:rPr>
          <w:rFonts w:ascii="Times New Roman" w:eastAsia="Times New Roman" w:hAnsi="Times New Roman" w:cs="Times New Roman"/>
          <w:sz w:val="24"/>
          <w:szCs w:val="24"/>
          <w:lang w:eastAsia="it-IT"/>
        </w:rPr>
        <w:t xml:space="preserve"> at the national level thereby threating the uniform </w:t>
      </w:r>
      <w:r w:rsidRPr="00807A92">
        <w:rPr>
          <w:rFonts w:ascii="Times New Roman" w:eastAsia="Times New Roman" w:hAnsi="Times New Roman" w:cs="Times New Roman"/>
          <w:i/>
          <w:iCs/>
          <w:sz w:val="24"/>
          <w:szCs w:val="24"/>
          <w:lang w:eastAsia="it-IT"/>
        </w:rPr>
        <w:t>interpretation</w:t>
      </w:r>
      <w:r w:rsidRPr="00807A92">
        <w:rPr>
          <w:rFonts w:ascii="Times New Roman" w:eastAsia="Times New Roman" w:hAnsi="Times New Roman" w:cs="Times New Roman"/>
          <w:sz w:val="24"/>
          <w:szCs w:val="24"/>
          <w:lang w:eastAsia="it-IT"/>
        </w:rPr>
        <w:t xml:space="preserve"> of EU law within the European Union. In this way, the focus also moves from establishing the correct answer in the case before the national court to the identification of the right kind of questions.</w:t>
      </w:r>
    </w:p>
    <w:p w14:paraId="664B2B2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46" w:name="point134"/>
      <w:r w:rsidRPr="00807A92">
        <w:rPr>
          <w:rFonts w:ascii="Times New Roman" w:eastAsia="Times New Roman" w:hAnsi="Times New Roman" w:cs="Times New Roman"/>
          <w:sz w:val="24"/>
          <w:szCs w:val="24"/>
          <w:lang w:eastAsia="it-IT"/>
        </w:rPr>
        <w:t>134.</w:t>
      </w:r>
      <w:bookmarkEnd w:id="246"/>
      <w:r w:rsidRPr="00807A92">
        <w:rPr>
          <w:rFonts w:ascii="Times New Roman" w:eastAsia="Times New Roman" w:hAnsi="Times New Roman" w:cs="Times New Roman"/>
          <w:sz w:val="24"/>
          <w:szCs w:val="24"/>
          <w:lang w:eastAsia="it-IT"/>
        </w:rPr>
        <w:t> Following that logic, I would suggest that, under the third paragraph of Article 267 TFEU, a court or a tribunal of a Member State against whose decisions there is no judicial remedy under national law is to refer the case to the Court of Justice provided that it raises (i) a general issue of interpretation of EU law (as opposed to its application); (ii) to which there is objectively more than one reasonably possible interpretation; (iii) for which the answer cannot be inferred from the existing case-law of the Court of Justice (or with regard to which the referring court wishes to depart from that case-law).</w:t>
      </w:r>
    </w:p>
    <w:p w14:paraId="6CC3774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47" w:name="point135"/>
      <w:r w:rsidRPr="00807A92">
        <w:rPr>
          <w:rFonts w:ascii="Times New Roman" w:eastAsia="Times New Roman" w:hAnsi="Times New Roman" w:cs="Times New Roman"/>
          <w:sz w:val="24"/>
          <w:szCs w:val="24"/>
          <w:lang w:eastAsia="it-IT"/>
        </w:rPr>
        <w:t>135.</w:t>
      </w:r>
      <w:bookmarkEnd w:id="247"/>
      <w:r w:rsidRPr="00807A92">
        <w:rPr>
          <w:rFonts w:ascii="Times New Roman" w:eastAsia="Times New Roman" w:hAnsi="Times New Roman" w:cs="Times New Roman"/>
          <w:sz w:val="24"/>
          <w:szCs w:val="24"/>
          <w:lang w:eastAsia="it-IT"/>
        </w:rPr>
        <w:t> Stated in this way, the duty to refer already contains within itself its own exceptions. The potential exception(s) to the duty to refer will be triggered only if one of the three cumulative conditions for there being an issue of interpretation of EU law that is subject to the duty to refer is not met. However, should a national court of last instance be of the view that, even if faced with an issue of interpretation of EU law in the main proceedings, one of the three conditions is not met, that court is obliged to identify clearly which one of the three conditions is not met and state the reasons why it believes that to be the case.</w:t>
      </w:r>
    </w:p>
    <w:p w14:paraId="21C4695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48" w:name="point136"/>
      <w:r w:rsidRPr="00807A92">
        <w:rPr>
          <w:rFonts w:ascii="Times New Roman" w:eastAsia="Times New Roman" w:hAnsi="Times New Roman" w:cs="Times New Roman"/>
          <w:sz w:val="24"/>
          <w:szCs w:val="24"/>
          <w:lang w:eastAsia="it-IT"/>
        </w:rPr>
        <w:t>136.</w:t>
      </w:r>
      <w:bookmarkEnd w:id="248"/>
      <w:r w:rsidRPr="00807A92">
        <w:rPr>
          <w:rFonts w:ascii="Times New Roman" w:eastAsia="Times New Roman" w:hAnsi="Times New Roman" w:cs="Times New Roman"/>
          <w:sz w:val="24"/>
          <w:szCs w:val="24"/>
          <w:lang w:eastAsia="it-IT"/>
        </w:rPr>
        <w:t xml:space="preserve"> Before exploring these three conditions in further detail, I wish to point out two important elements. </w:t>
      </w:r>
    </w:p>
    <w:p w14:paraId="0708FFA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49" w:name="point137"/>
      <w:r w:rsidRPr="00807A92">
        <w:rPr>
          <w:rFonts w:ascii="Times New Roman" w:eastAsia="Times New Roman" w:hAnsi="Times New Roman" w:cs="Times New Roman"/>
          <w:sz w:val="24"/>
          <w:szCs w:val="24"/>
          <w:lang w:eastAsia="it-IT"/>
        </w:rPr>
        <w:t>137.</w:t>
      </w:r>
      <w:bookmarkEnd w:id="249"/>
      <w:r w:rsidRPr="00807A92">
        <w:rPr>
          <w:rFonts w:ascii="Times New Roman" w:eastAsia="Times New Roman" w:hAnsi="Times New Roman" w:cs="Times New Roman"/>
          <w:sz w:val="24"/>
          <w:szCs w:val="24"/>
          <w:lang w:eastAsia="it-IT"/>
        </w:rPr>
        <w:t xml:space="preserve"> First, the fact that there is no </w:t>
      </w:r>
      <w:r w:rsidRPr="00807A92">
        <w:rPr>
          <w:rFonts w:ascii="Times New Roman" w:eastAsia="Times New Roman" w:hAnsi="Times New Roman" w:cs="Times New Roman"/>
          <w:i/>
          <w:iCs/>
          <w:sz w:val="24"/>
          <w:szCs w:val="24"/>
          <w:lang w:eastAsia="it-IT"/>
        </w:rPr>
        <w:t>duty</w:t>
      </w:r>
      <w:r w:rsidRPr="00807A92">
        <w:rPr>
          <w:rFonts w:ascii="Times New Roman" w:eastAsia="Times New Roman" w:hAnsi="Times New Roman" w:cs="Times New Roman"/>
          <w:sz w:val="24"/>
          <w:szCs w:val="24"/>
          <w:lang w:eastAsia="it-IT"/>
        </w:rPr>
        <w:t xml:space="preserve"> to make a reference in a given case under the third paragraph of Article 267 TFEU certainly does not preclude a court of last instance from seeking assistance from the Court under the second paragraph of Article 267 TFEU, should it deem that to be necessary in order to settle the individual case before it. The absence of an obligation to do something does not preclude the possibility to do that same thing. A case that may not fall within the scope of the obligation of the third paragraph of Article 267 TFEU may still be subsumed under the second paragraph: ‘a court or tribunal of a Member State against whose decisions there is no judicial remedy’ is in any event and remains ‘a court or tribunal of a Member State’. The former is a logical subset of the latter. </w:t>
      </w:r>
    </w:p>
    <w:p w14:paraId="7F44581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50" w:name="point138"/>
      <w:r w:rsidRPr="00807A92">
        <w:rPr>
          <w:rFonts w:ascii="Times New Roman" w:eastAsia="Times New Roman" w:hAnsi="Times New Roman" w:cs="Times New Roman"/>
          <w:sz w:val="24"/>
          <w:szCs w:val="24"/>
          <w:lang w:eastAsia="it-IT"/>
        </w:rPr>
        <w:t>138.</w:t>
      </w:r>
      <w:bookmarkEnd w:id="250"/>
      <w:r w:rsidRPr="00807A92">
        <w:rPr>
          <w:rFonts w:ascii="Times New Roman" w:eastAsia="Times New Roman" w:hAnsi="Times New Roman" w:cs="Times New Roman"/>
          <w:sz w:val="24"/>
          <w:szCs w:val="24"/>
          <w:lang w:eastAsia="it-IT"/>
        </w:rPr>
        <w:t> Second, it might again be repeated that everything which has been stated, and all that follows, concern exclusively preliminary questions on interpretation. The obligation to make a reference concerning the validity of an EU act remains subject to a strict duty to refer, without exceptions. (</w:t>
      </w:r>
      <w:bookmarkStart w:id="251" w:name="Footref113"/>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"Footnote113"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113</w:t>
      </w:r>
      <w:r w:rsidRPr="00807A92">
        <w:rPr>
          <w:rFonts w:ascii="Times New Roman" w:eastAsia="Times New Roman" w:hAnsi="Times New Roman" w:cs="Times New Roman"/>
          <w:sz w:val="24"/>
          <w:szCs w:val="24"/>
          <w:lang w:eastAsia="it-IT"/>
        </w:rPr>
        <w:fldChar w:fldCharType="end"/>
      </w:r>
      <w:bookmarkEnd w:id="251"/>
      <w:r w:rsidRPr="00807A92">
        <w:rPr>
          <w:rFonts w:ascii="Times New Roman" w:eastAsia="Times New Roman" w:hAnsi="Times New Roman" w:cs="Times New Roman"/>
          <w:sz w:val="24"/>
          <w:szCs w:val="24"/>
          <w:lang w:eastAsia="it-IT"/>
        </w:rPr>
        <w:t>)</w:t>
      </w:r>
    </w:p>
    <w:p w14:paraId="7BF58EC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1.      </w:t>
      </w:r>
      <w:r w:rsidRPr="00807A92">
        <w:rPr>
          <w:rFonts w:ascii="Times New Roman" w:eastAsia="Times New Roman" w:hAnsi="Times New Roman" w:cs="Times New Roman"/>
          <w:b/>
          <w:bCs/>
          <w:i/>
          <w:iCs/>
          <w:sz w:val="24"/>
          <w:szCs w:val="24"/>
          <w:lang w:eastAsia="it-IT"/>
        </w:rPr>
        <w:t>A general or generalisable issue of interpretation of EU law</w:t>
      </w:r>
    </w:p>
    <w:p w14:paraId="1673495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52" w:name="point139"/>
      <w:r w:rsidRPr="00807A92">
        <w:rPr>
          <w:rFonts w:ascii="Times New Roman" w:eastAsia="Times New Roman" w:hAnsi="Times New Roman" w:cs="Times New Roman"/>
          <w:sz w:val="24"/>
          <w:szCs w:val="24"/>
          <w:lang w:eastAsia="it-IT"/>
        </w:rPr>
        <w:t>139.</w:t>
      </w:r>
      <w:bookmarkEnd w:id="252"/>
      <w:r w:rsidRPr="00807A92">
        <w:rPr>
          <w:rFonts w:ascii="Times New Roman" w:eastAsia="Times New Roman" w:hAnsi="Times New Roman" w:cs="Times New Roman"/>
          <w:sz w:val="24"/>
          <w:szCs w:val="24"/>
          <w:lang w:eastAsia="it-IT"/>
        </w:rPr>
        <w:t xml:space="preserve"> This condition is obvious at first sight. Indeed, it might even be suggested that this is what the preliminary ruling procedure has always been about. The reality is nonetheless somewhat more diverse. The Court’s occasional insistence on there being no reasonable doubt as to the </w:t>
      </w:r>
      <w:r w:rsidRPr="00807A92">
        <w:rPr>
          <w:rFonts w:ascii="Times New Roman" w:eastAsia="Times New Roman" w:hAnsi="Times New Roman" w:cs="Times New Roman"/>
          <w:i/>
          <w:iCs/>
          <w:sz w:val="24"/>
          <w:szCs w:val="24"/>
          <w:lang w:eastAsia="it-IT"/>
        </w:rPr>
        <w:t xml:space="preserve">correct application </w:t>
      </w:r>
      <w:r w:rsidRPr="00807A92">
        <w:rPr>
          <w:rFonts w:ascii="Times New Roman" w:eastAsia="Times New Roman" w:hAnsi="Times New Roman" w:cs="Times New Roman"/>
          <w:sz w:val="24"/>
          <w:szCs w:val="24"/>
          <w:lang w:eastAsia="it-IT"/>
        </w:rPr>
        <w:t>of EU law in the case before the court of last instance has led a number of courts to also submit factual and rather specific issues to the Court. Three examples may illustrate this phenomenon.</w:t>
      </w:r>
    </w:p>
    <w:p w14:paraId="5FD0D7A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53" w:name="point140"/>
      <w:r w:rsidRPr="00807A92">
        <w:rPr>
          <w:rFonts w:ascii="Times New Roman" w:eastAsia="Times New Roman" w:hAnsi="Times New Roman" w:cs="Times New Roman"/>
          <w:sz w:val="24"/>
          <w:szCs w:val="24"/>
          <w:lang w:eastAsia="it-IT"/>
        </w:rPr>
        <w:lastRenderedPageBreak/>
        <w:t>140.</w:t>
      </w:r>
      <w:bookmarkEnd w:id="253"/>
      <w:r w:rsidRPr="00807A92">
        <w:rPr>
          <w:rFonts w:ascii="Times New Roman" w:eastAsia="Times New Roman" w:hAnsi="Times New Roman" w:cs="Times New Roman"/>
          <w:sz w:val="24"/>
          <w:szCs w:val="24"/>
          <w:lang w:eastAsia="it-IT"/>
        </w:rPr>
        <w:t> First, the Court previously provided an interpretation of the concept of ‘extraordinary circumstances’ within the meaning of Article 5(3) of Regulation (EC) No 261/2004 (</w:t>
      </w:r>
      <w:bookmarkStart w:id="254" w:name="Footref114"/>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"Footnote114"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114</w:t>
      </w:r>
      <w:r w:rsidRPr="00807A92">
        <w:rPr>
          <w:rFonts w:ascii="Times New Roman" w:eastAsia="Times New Roman" w:hAnsi="Times New Roman" w:cs="Times New Roman"/>
          <w:sz w:val="24"/>
          <w:szCs w:val="24"/>
          <w:lang w:eastAsia="it-IT"/>
        </w:rPr>
        <w:fldChar w:fldCharType="end"/>
      </w:r>
      <w:bookmarkEnd w:id="254"/>
      <w:r w:rsidRPr="00807A92">
        <w:rPr>
          <w:rFonts w:ascii="Times New Roman" w:eastAsia="Times New Roman" w:hAnsi="Times New Roman" w:cs="Times New Roman"/>
          <w:sz w:val="24"/>
          <w:szCs w:val="24"/>
          <w:lang w:eastAsia="it-IT"/>
        </w:rPr>
        <w:t xml:space="preserve">) at an early stage, starting with </w:t>
      </w:r>
      <w:r w:rsidRPr="00807A92">
        <w:rPr>
          <w:rFonts w:ascii="Times New Roman" w:eastAsia="Times New Roman" w:hAnsi="Times New Roman" w:cs="Times New Roman"/>
          <w:i/>
          <w:iCs/>
          <w:sz w:val="24"/>
          <w:szCs w:val="24"/>
          <w:lang w:eastAsia="it-IT"/>
        </w:rPr>
        <w:t>Wallentin-Hermann</w:t>
      </w:r>
      <w:r w:rsidRPr="00807A92">
        <w:rPr>
          <w:rFonts w:ascii="Times New Roman" w:eastAsia="Times New Roman" w:hAnsi="Times New Roman" w:cs="Times New Roman"/>
          <w:sz w:val="24"/>
          <w:szCs w:val="24"/>
          <w:lang w:eastAsia="it-IT"/>
        </w:rPr>
        <w:t>, where the Court stated that the concept of ‘extraordinary circumstances’ refers to ‘an event which … is not inherent in the normal exercise of the activity of the air carrier concerned and is beyond the actual control of that carrier’. (</w:t>
      </w:r>
      <w:bookmarkStart w:id="255" w:name="Footref115"/>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"Footnote115"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115</w:t>
      </w:r>
      <w:r w:rsidRPr="00807A92">
        <w:rPr>
          <w:rFonts w:ascii="Times New Roman" w:eastAsia="Times New Roman" w:hAnsi="Times New Roman" w:cs="Times New Roman"/>
          <w:sz w:val="24"/>
          <w:szCs w:val="24"/>
          <w:lang w:eastAsia="it-IT"/>
        </w:rPr>
        <w:fldChar w:fldCharType="end"/>
      </w:r>
      <w:bookmarkEnd w:id="255"/>
      <w:r w:rsidRPr="00807A92">
        <w:rPr>
          <w:rFonts w:ascii="Times New Roman" w:eastAsia="Times New Roman" w:hAnsi="Times New Roman" w:cs="Times New Roman"/>
          <w:sz w:val="24"/>
          <w:szCs w:val="24"/>
          <w:lang w:eastAsia="it-IT"/>
        </w:rPr>
        <w:t>) Certainly, the likelihood is that there will be a number of additional cases which confirm and make clear the exact scope of such a definition. However, are all new factual scenarios, each merely asking whether or not a particular set of facts (</w:t>
      </w:r>
      <w:r w:rsidRPr="00807A92">
        <w:rPr>
          <w:rFonts w:ascii="Times New Roman" w:eastAsia="Times New Roman" w:hAnsi="Times New Roman" w:cs="Times New Roman"/>
          <w:i/>
          <w:iCs/>
          <w:sz w:val="24"/>
          <w:szCs w:val="24"/>
          <w:lang w:eastAsia="it-IT"/>
        </w:rPr>
        <w:t>premissa minor</w:t>
      </w:r>
      <w:r w:rsidRPr="00807A92">
        <w:rPr>
          <w:rFonts w:ascii="Times New Roman" w:eastAsia="Times New Roman" w:hAnsi="Times New Roman" w:cs="Times New Roman"/>
          <w:sz w:val="24"/>
          <w:szCs w:val="24"/>
          <w:lang w:eastAsia="it-IT"/>
        </w:rPr>
        <w:t>) may once again be subsumed under the interpretative definition already provided for in EU law (</w:t>
      </w:r>
      <w:r w:rsidRPr="00807A92">
        <w:rPr>
          <w:rFonts w:ascii="Times New Roman" w:eastAsia="Times New Roman" w:hAnsi="Times New Roman" w:cs="Times New Roman"/>
          <w:i/>
          <w:iCs/>
          <w:sz w:val="24"/>
          <w:szCs w:val="24"/>
          <w:lang w:eastAsia="it-IT"/>
        </w:rPr>
        <w:t>premissa maior</w:t>
      </w:r>
      <w:r w:rsidRPr="00807A92">
        <w:rPr>
          <w:rFonts w:ascii="Times New Roman" w:eastAsia="Times New Roman" w:hAnsi="Times New Roman" w:cs="Times New Roman"/>
          <w:sz w:val="24"/>
          <w:szCs w:val="24"/>
          <w:lang w:eastAsia="it-IT"/>
        </w:rPr>
        <w:t>), really instances of interpretation of EU law? In a number of cases thereafter, the Court was invited to categorise as ‘extraordinary circumstances’: a collision between an aircraft and a bird; (</w:t>
      </w:r>
      <w:bookmarkStart w:id="256" w:name="Footref116"/>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"Footnote116"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116</w:t>
      </w:r>
      <w:r w:rsidRPr="00807A92">
        <w:rPr>
          <w:rFonts w:ascii="Times New Roman" w:eastAsia="Times New Roman" w:hAnsi="Times New Roman" w:cs="Times New Roman"/>
          <w:sz w:val="24"/>
          <w:szCs w:val="24"/>
          <w:lang w:eastAsia="it-IT"/>
        </w:rPr>
        <w:fldChar w:fldCharType="end"/>
      </w:r>
      <w:bookmarkEnd w:id="256"/>
      <w:r w:rsidRPr="00807A92">
        <w:rPr>
          <w:rFonts w:ascii="Times New Roman" w:eastAsia="Times New Roman" w:hAnsi="Times New Roman" w:cs="Times New Roman"/>
          <w:sz w:val="24"/>
          <w:szCs w:val="24"/>
          <w:lang w:eastAsia="it-IT"/>
        </w:rPr>
        <w:t>) the closure of part of European airspace as a result of the eruption of an Icelandic volcano; (</w:t>
      </w:r>
      <w:bookmarkStart w:id="257" w:name="Footref117"/>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"Footnote117"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117</w:t>
      </w:r>
      <w:r w:rsidRPr="00807A92">
        <w:rPr>
          <w:rFonts w:ascii="Times New Roman" w:eastAsia="Times New Roman" w:hAnsi="Times New Roman" w:cs="Times New Roman"/>
          <w:sz w:val="24"/>
          <w:szCs w:val="24"/>
          <w:lang w:eastAsia="it-IT"/>
        </w:rPr>
        <w:fldChar w:fldCharType="end"/>
      </w:r>
      <w:bookmarkEnd w:id="257"/>
      <w:r w:rsidRPr="00807A92">
        <w:rPr>
          <w:rFonts w:ascii="Times New Roman" w:eastAsia="Times New Roman" w:hAnsi="Times New Roman" w:cs="Times New Roman"/>
          <w:sz w:val="24"/>
          <w:szCs w:val="24"/>
          <w:lang w:eastAsia="it-IT"/>
        </w:rPr>
        <w:t>) the unruly behaviour of a passenger which justified the pilot diverting the flight ‘unless the operating air carrier contributed to the occurrence of that behaviour or failed to take appropriate measures in view of the warning signs of such behaviour’; (</w:t>
      </w:r>
      <w:bookmarkStart w:id="258" w:name="Footref118"/>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"Footnote118"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118</w:t>
      </w:r>
      <w:r w:rsidRPr="00807A92">
        <w:rPr>
          <w:rFonts w:ascii="Times New Roman" w:eastAsia="Times New Roman" w:hAnsi="Times New Roman" w:cs="Times New Roman"/>
          <w:sz w:val="24"/>
          <w:szCs w:val="24"/>
          <w:lang w:eastAsia="it-IT"/>
        </w:rPr>
        <w:fldChar w:fldCharType="end"/>
      </w:r>
      <w:bookmarkEnd w:id="258"/>
      <w:r w:rsidRPr="00807A92">
        <w:rPr>
          <w:rFonts w:ascii="Times New Roman" w:eastAsia="Times New Roman" w:hAnsi="Times New Roman" w:cs="Times New Roman"/>
          <w:sz w:val="24"/>
          <w:szCs w:val="24"/>
          <w:lang w:eastAsia="it-IT"/>
        </w:rPr>
        <w:t>) or damage to an aircraft tyre caused by a foreign object, such as loose debris, lying on an airport runway. (</w:t>
      </w:r>
      <w:bookmarkStart w:id="259" w:name="Footref119"/>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"Footnote119"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119</w:t>
      </w:r>
      <w:r w:rsidRPr="00807A92">
        <w:rPr>
          <w:rFonts w:ascii="Times New Roman" w:eastAsia="Times New Roman" w:hAnsi="Times New Roman" w:cs="Times New Roman"/>
          <w:sz w:val="24"/>
          <w:szCs w:val="24"/>
          <w:lang w:eastAsia="it-IT"/>
        </w:rPr>
        <w:fldChar w:fldCharType="end"/>
      </w:r>
      <w:bookmarkEnd w:id="259"/>
      <w:r w:rsidRPr="00807A92">
        <w:rPr>
          <w:rFonts w:ascii="Times New Roman" w:eastAsia="Times New Roman" w:hAnsi="Times New Roman" w:cs="Times New Roman"/>
          <w:sz w:val="24"/>
          <w:szCs w:val="24"/>
          <w:lang w:eastAsia="it-IT"/>
        </w:rPr>
        <w:t>)</w:t>
      </w:r>
    </w:p>
    <w:p w14:paraId="69EF28F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60" w:name="point141"/>
      <w:r w:rsidRPr="00807A92">
        <w:rPr>
          <w:rFonts w:ascii="Times New Roman" w:eastAsia="Times New Roman" w:hAnsi="Times New Roman" w:cs="Times New Roman"/>
          <w:sz w:val="24"/>
          <w:szCs w:val="24"/>
          <w:lang w:eastAsia="it-IT"/>
        </w:rPr>
        <w:t>141.</w:t>
      </w:r>
      <w:bookmarkEnd w:id="260"/>
      <w:r w:rsidRPr="00807A92">
        <w:rPr>
          <w:rFonts w:ascii="Times New Roman" w:eastAsia="Times New Roman" w:hAnsi="Times New Roman" w:cs="Times New Roman"/>
          <w:sz w:val="24"/>
          <w:szCs w:val="24"/>
          <w:lang w:eastAsia="it-IT"/>
        </w:rPr>
        <w:t> Second, in a similar vein, in matters of insurance against civil liability in respect of the use of motor vehicles, the Court has issued several judgments on the concept of ‘use of vehicles’ within the meaning of Article 3 of Directive 2009/103/EC. (</w:t>
      </w:r>
      <w:bookmarkStart w:id="261" w:name="Footref120"/>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"Footnote120"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120</w:t>
      </w:r>
      <w:r w:rsidRPr="00807A92">
        <w:rPr>
          <w:rFonts w:ascii="Times New Roman" w:eastAsia="Times New Roman" w:hAnsi="Times New Roman" w:cs="Times New Roman"/>
          <w:sz w:val="24"/>
          <w:szCs w:val="24"/>
          <w:lang w:eastAsia="it-IT"/>
        </w:rPr>
        <w:fldChar w:fldCharType="end"/>
      </w:r>
      <w:bookmarkEnd w:id="261"/>
      <w:r w:rsidRPr="00807A92">
        <w:rPr>
          <w:rFonts w:ascii="Times New Roman" w:eastAsia="Times New Roman" w:hAnsi="Times New Roman" w:cs="Times New Roman"/>
          <w:sz w:val="24"/>
          <w:szCs w:val="24"/>
          <w:lang w:eastAsia="it-IT"/>
        </w:rPr>
        <w:t>) According to the Court, that concept covers any use of a vehicle that is consistent with the normal function of that vehicle, (</w:t>
      </w:r>
      <w:bookmarkStart w:id="262" w:name="Footref121"/>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"Footnote121"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121</w:t>
      </w:r>
      <w:r w:rsidRPr="00807A92">
        <w:rPr>
          <w:rFonts w:ascii="Times New Roman" w:eastAsia="Times New Roman" w:hAnsi="Times New Roman" w:cs="Times New Roman"/>
          <w:sz w:val="24"/>
          <w:szCs w:val="24"/>
          <w:lang w:eastAsia="it-IT"/>
        </w:rPr>
        <w:fldChar w:fldCharType="end"/>
      </w:r>
      <w:bookmarkEnd w:id="262"/>
      <w:r w:rsidRPr="00807A92">
        <w:rPr>
          <w:rFonts w:ascii="Times New Roman" w:eastAsia="Times New Roman" w:hAnsi="Times New Roman" w:cs="Times New Roman"/>
          <w:sz w:val="24"/>
          <w:szCs w:val="24"/>
          <w:lang w:eastAsia="it-IT"/>
        </w:rPr>
        <w:t>) that is to say any use of that vehicle as a means of transport. (</w:t>
      </w:r>
      <w:bookmarkStart w:id="263" w:name="Footref122"/>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"Footnote122"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122</w:t>
      </w:r>
      <w:r w:rsidRPr="00807A92">
        <w:rPr>
          <w:rFonts w:ascii="Times New Roman" w:eastAsia="Times New Roman" w:hAnsi="Times New Roman" w:cs="Times New Roman"/>
          <w:sz w:val="24"/>
          <w:szCs w:val="24"/>
          <w:lang w:eastAsia="it-IT"/>
        </w:rPr>
        <w:fldChar w:fldCharType="end"/>
      </w:r>
      <w:bookmarkEnd w:id="263"/>
      <w:r w:rsidRPr="00807A92">
        <w:rPr>
          <w:rFonts w:ascii="Times New Roman" w:eastAsia="Times New Roman" w:hAnsi="Times New Roman" w:cs="Times New Roman"/>
          <w:sz w:val="24"/>
          <w:szCs w:val="24"/>
          <w:lang w:eastAsia="it-IT"/>
        </w:rPr>
        <w:t>) However, subsequently, the Court has been invited to confirm whether the following factual situations also amount to the ‘use of vehicles’: ‘the manoeuvre of a tractor in the courtyard of a farm in order to bring the trailer attached to that tractor into a barn’; (</w:t>
      </w:r>
      <w:bookmarkStart w:id="264" w:name="Footref123"/>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"Footnote123"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123</w:t>
      </w:r>
      <w:r w:rsidRPr="00807A92">
        <w:rPr>
          <w:rFonts w:ascii="Times New Roman" w:eastAsia="Times New Roman" w:hAnsi="Times New Roman" w:cs="Times New Roman"/>
          <w:sz w:val="24"/>
          <w:szCs w:val="24"/>
          <w:lang w:eastAsia="it-IT"/>
        </w:rPr>
        <w:fldChar w:fldCharType="end"/>
      </w:r>
      <w:bookmarkEnd w:id="264"/>
      <w:r w:rsidRPr="00807A92">
        <w:rPr>
          <w:rFonts w:ascii="Times New Roman" w:eastAsia="Times New Roman" w:hAnsi="Times New Roman" w:cs="Times New Roman"/>
          <w:sz w:val="24"/>
          <w:szCs w:val="24"/>
          <w:lang w:eastAsia="it-IT"/>
        </w:rPr>
        <w:t>) ‘the situation in which an agricultural tractor has been involved in an accident when its principal function, at the time of that accident, was not to serve as a means of transport but to generate, as a machine for carrying out work, the motive power necessary to drive the pump of a herbicide sprayer’; (</w:t>
      </w:r>
      <w:bookmarkStart w:id="265" w:name="Footref124"/>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"Footnote124"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124</w:t>
      </w:r>
      <w:r w:rsidRPr="00807A92">
        <w:rPr>
          <w:rFonts w:ascii="Times New Roman" w:eastAsia="Times New Roman" w:hAnsi="Times New Roman" w:cs="Times New Roman"/>
          <w:sz w:val="24"/>
          <w:szCs w:val="24"/>
          <w:lang w:eastAsia="it-IT"/>
        </w:rPr>
        <w:fldChar w:fldCharType="end"/>
      </w:r>
      <w:bookmarkEnd w:id="265"/>
      <w:r w:rsidRPr="00807A92">
        <w:rPr>
          <w:rFonts w:ascii="Times New Roman" w:eastAsia="Times New Roman" w:hAnsi="Times New Roman" w:cs="Times New Roman"/>
          <w:sz w:val="24"/>
          <w:szCs w:val="24"/>
          <w:lang w:eastAsia="it-IT"/>
        </w:rPr>
        <w:t>) ‘a situation in which the passenger of a vehicle parked in a car park, in opening the door of that vehicle, scraped against and damaged the vehicle parked next to it’; (</w:t>
      </w:r>
      <w:bookmarkStart w:id="266" w:name="Footref125"/>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"Footnote125"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125</w:t>
      </w:r>
      <w:r w:rsidRPr="00807A92">
        <w:rPr>
          <w:rFonts w:ascii="Times New Roman" w:eastAsia="Times New Roman" w:hAnsi="Times New Roman" w:cs="Times New Roman"/>
          <w:sz w:val="24"/>
          <w:szCs w:val="24"/>
          <w:lang w:eastAsia="it-IT"/>
        </w:rPr>
        <w:fldChar w:fldCharType="end"/>
      </w:r>
      <w:bookmarkEnd w:id="266"/>
      <w:r w:rsidRPr="00807A92">
        <w:rPr>
          <w:rFonts w:ascii="Times New Roman" w:eastAsia="Times New Roman" w:hAnsi="Times New Roman" w:cs="Times New Roman"/>
          <w:sz w:val="24"/>
          <w:szCs w:val="24"/>
          <w:lang w:eastAsia="it-IT"/>
        </w:rPr>
        <w:t>) or a ‘situation … in which a vehicle parked in a private garage of a building, used in accordance with its function as a means of transport, has caught fire, giving rise to a fire which originated in the electrical circuit of that vehicle and caused damage to that building, even though that vehicle has not been moved for more than 24 hours before the fire occurred’. (</w:t>
      </w:r>
      <w:bookmarkStart w:id="267" w:name="Footref126"/>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"Footnote126"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126</w:t>
      </w:r>
      <w:r w:rsidRPr="00807A92">
        <w:rPr>
          <w:rFonts w:ascii="Times New Roman" w:eastAsia="Times New Roman" w:hAnsi="Times New Roman" w:cs="Times New Roman"/>
          <w:sz w:val="24"/>
          <w:szCs w:val="24"/>
          <w:lang w:eastAsia="it-IT"/>
        </w:rPr>
        <w:fldChar w:fldCharType="end"/>
      </w:r>
      <w:bookmarkEnd w:id="267"/>
      <w:r w:rsidRPr="00807A92">
        <w:rPr>
          <w:rFonts w:ascii="Times New Roman" w:eastAsia="Times New Roman" w:hAnsi="Times New Roman" w:cs="Times New Roman"/>
          <w:sz w:val="24"/>
          <w:szCs w:val="24"/>
          <w:lang w:eastAsia="it-IT"/>
        </w:rPr>
        <w:t>)</w:t>
      </w:r>
    </w:p>
    <w:p w14:paraId="170293A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68" w:name="point142"/>
      <w:r w:rsidRPr="00807A92">
        <w:rPr>
          <w:rFonts w:ascii="Times New Roman" w:eastAsia="Times New Roman" w:hAnsi="Times New Roman" w:cs="Times New Roman"/>
          <w:sz w:val="24"/>
          <w:szCs w:val="24"/>
          <w:lang w:eastAsia="it-IT"/>
        </w:rPr>
        <w:t>142.</w:t>
      </w:r>
      <w:bookmarkEnd w:id="268"/>
      <w:r w:rsidRPr="00807A92">
        <w:rPr>
          <w:rFonts w:ascii="Times New Roman" w:eastAsia="Times New Roman" w:hAnsi="Times New Roman" w:cs="Times New Roman"/>
          <w:sz w:val="24"/>
          <w:szCs w:val="24"/>
          <w:lang w:eastAsia="it-IT"/>
        </w:rPr>
        <w:t> Third, a final illustration might be drawn from the concept of ‘working time’ under Directive 2003/88/EC. (</w:t>
      </w:r>
      <w:bookmarkStart w:id="269" w:name="Footref127"/>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"Footnote127"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127</w:t>
      </w:r>
      <w:r w:rsidRPr="00807A92">
        <w:rPr>
          <w:rFonts w:ascii="Times New Roman" w:eastAsia="Times New Roman" w:hAnsi="Times New Roman" w:cs="Times New Roman"/>
          <w:sz w:val="24"/>
          <w:szCs w:val="24"/>
          <w:lang w:eastAsia="it-IT"/>
        </w:rPr>
        <w:fldChar w:fldCharType="end"/>
      </w:r>
      <w:bookmarkEnd w:id="269"/>
      <w:r w:rsidRPr="00807A92">
        <w:rPr>
          <w:rFonts w:ascii="Times New Roman" w:eastAsia="Times New Roman" w:hAnsi="Times New Roman" w:cs="Times New Roman"/>
          <w:sz w:val="24"/>
          <w:szCs w:val="24"/>
          <w:lang w:eastAsia="it-IT"/>
        </w:rPr>
        <w:t>) According to established case-law, the key requirement for the classification as ‘working time’ within the meaning of Directive 2003/88 is that the worker be physically present at the place determined by the employer and be available to the employer in order to be able to provide the appropriate services immediately in case of need. Those obligations, which make it impossible for the workers concerned to choose the place where they stay during stand-by periods, must be regarded as coming within the ambit of the performance of their duties. (</w:t>
      </w:r>
      <w:bookmarkStart w:id="270" w:name="Footref128"/>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"Footnote128"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128</w:t>
      </w:r>
      <w:r w:rsidRPr="00807A92">
        <w:rPr>
          <w:rFonts w:ascii="Times New Roman" w:eastAsia="Times New Roman" w:hAnsi="Times New Roman" w:cs="Times New Roman"/>
          <w:sz w:val="24"/>
          <w:szCs w:val="24"/>
          <w:lang w:eastAsia="it-IT"/>
        </w:rPr>
        <w:fldChar w:fldCharType="end"/>
      </w:r>
      <w:bookmarkEnd w:id="270"/>
      <w:r w:rsidRPr="00807A92">
        <w:rPr>
          <w:rFonts w:ascii="Times New Roman" w:eastAsia="Times New Roman" w:hAnsi="Times New Roman" w:cs="Times New Roman"/>
          <w:sz w:val="24"/>
          <w:szCs w:val="24"/>
          <w:lang w:eastAsia="it-IT"/>
        </w:rPr>
        <w:t>) However, following that general definition, the Court has again been asked to effectively subsume under that definition factually detailed situations concerning various forms of on-call or stand-by duties of medical and other emergency personnel. The Court thus held that time spent on call constitutes working time if the employee is required to be at the health centre; (</w:t>
      </w:r>
      <w:bookmarkStart w:id="271" w:name="Footref129"/>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"Footnote129"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129</w:t>
      </w:r>
      <w:r w:rsidRPr="00807A92">
        <w:rPr>
          <w:rFonts w:ascii="Times New Roman" w:eastAsia="Times New Roman" w:hAnsi="Times New Roman" w:cs="Times New Roman"/>
          <w:sz w:val="24"/>
          <w:szCs w:val="24"/>
          <w:lang w:eastAsia="it-IT"/>
        </w:rPr>
        <w:fldChar w:fldCharType="end"/>
      </w:r>
      <w:bookmarkEnd w:id="271"/>
      <w:r w:rsidRPr="00807A92">
        <w:rPr>
          <w:rFonts w:ascii="Times New Roman" w:eastAsia="Times New Roman" w:hAnsi="Times New Roman" w:cs="Times New Roman"/>
          <w:sz w:val="24"/>
          <w:szCs w:val="24"/>
          <w:lang w:eastAsia="it-IT"/>
        </w:rPr>
        <w:t>) even where the person concerned is permitted to rest at his place of work during the periods when his services are not required; (</w:t>
      </w:r>
      <w:bookmarkStart w:id="272" w:name="Footref130"/>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"Footnote130"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130</w:t>
      </w:r>
      <w:r w:rsidRPr="00807A92">
        <w:rPr>
          <w:rFonts w:ascii="Times New Roman" w:eastAsia="Times New Roman" w:hAnsi="Times New Roman" w:cs="Times New Roman"/>
          <w:sz w:val="24"/>
          <w:szCs w:val="24"/>
          <w:lang w:eastAsia="it-IT"/>
        </w:rPr>
        <w:fldChar w:fldCharType="end"/>
      </w:r>
      <w:bookmarkEnd w:id="272"/>
      <w:r w:rsidRPr="00807A92">
        <w:rPr>
          <w:rFonts w:ascii="Times New Roman" w:eastAsia="Times New Roman" w:hAnsi="Times New Roman" w:cs="Times New Roman"/>
          <w:sz w:val="24"/>
          <w:szCs w:val="24"/>
          <w:lang w:eastAsia="it-IT"/>
        </w:rPr>
        <w:t>) or that the concept of ‘working time’ should apply to ‘a situation in which a [firefighter] is obliged to spend stand-by time at his home, to be available there to his employer and to be able to reach his place of work within 8 minutes’. (</w:t>
      </w:r>
      <w:bookmarkStart w:id="273" w:name="Footref131"/>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"Footnote131"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131</w:t>
      </w:r>
      <w:r w:rsidRPr="00807A92">
        <w:rPr>
          <w:rFonts w:ascii="Times New Roman" w:eastAsia="Times New Roman" w:hAnsi="Times New Roman" w:cs="Times New Roman"/>
          <w:sz w:val="24"/>
          <w:szCs w:val="24"/>
          <w:lang w:eastAsia="it-IT"/>
        </w:rPr>
        <w:fldChar w:fldCharType="end"/>
      </w:r>
      <w:bookmarkEnd w:id="273"/>
      <w:r w:rsidRPr="00807A92">
        <w:rPr>
          <w:rFonts w:ascii="Times New Roman" w:eastAsia="Times New Roman" w:hAnsi="Times New Roman" w:cs="Times New Roman"/>
          <w:sz w:val="24"/>
          <w:szCs w:val="24"/>
          <w:lang w:eastAsia="it-IT"/>
        </w:rPr>
        <w:t>)</w:t>
      </w:r>
    </w:p>
    <w:p w14:paraId="58E60E1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74" w:name="point143"/>
      <w:r w:rsidRPr="00807A92">
        <w:rPr>
          <w:rFonts w:ascii="Times New Roman" w:eastAsia="Times New Roman" w:hAnsi="Times New Roman" w:cs="Times New Roman"/>
          <w:sz w:val="24"/>
          <w:szCs w:val="24"/>
          <w:lang w:eastAsia="it-IT"/>
        </w:rPr>
        <w:lastRenderedPageBreak/>
        <w:t>143.</w:t>
      </w:r>
      <w:bookmarkEnd w:id="274"/>
      <w:r w:rsidRPr="00807A92">
        <w:rPr>
          <w:rFonts w:ascii="Times New Roman" w:eastAsia="Times New Roman" w:hAnsi="Times New Roman" w:cs="Times New Roman"/>
          <w:sz w:val="24"/>
          <w:szCs w:val="24"/>
          <w:lang w:eastAsia="it-IT"/>
        </w:rPr>
        <w:t> Certainly, in all these areas, the Court has no doubt provided a useful answer to the national courts. However, I cannot but agree again with Advocate General Jacobs that ‘detailed answers to very specific questions will not always promote … uniform application. Such answers may merely provoke further questions’. (</w:t>
      </w:r>
      <w:bookmarkStart w:id="275" w:name="Footref132"/>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"Footnote132"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132</w:t>
      </w:r>
      <w:r w:rsidRPr="00807A92">
        <w:rPr>
          <w:rFonts w:ascii="Times New Roman" w:eastAsia="Times New Roman" w:hAnsi="Times New Roman" w:cs="Times New Roman"/>
          <w:sz w:val="24"/>
          <w:szCs w:val="24"/>
          <w:lang w:eastAsia="it-IT"/>
        </w:rPr>
        <w:fldChar w:fldCharType="end"/>
      </w:r>
      <w:bookmarkEnd w:id="275"/>
      <w:r w:rsidRPr="00807A92">
        <w:rPr>
          <w:rFonts w:ascii="Times New Roman" w:eastAsia="Times New Roman" w:hAnsi="Times New Roman" w:cs="Times New Roman"/>
          <w:sz w:val="24"/>
          <w:szCs w:val="24"/>
          <w:lang w:eastAsia="it-IT"/>
        </w:rPr>
        <w:t>)</w:t>
      </w:r>
    </w:p>
    <w:p w14:paraId="0CB714D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76" w:name="point144"/>
      <w:r w:rsidRPr="00807A92">
        <w:rPr>
          <w:rFonts w:ascii="Times New Roman" w:eastAsia="Times New Roman" w:hAnsi="Times New Roman" w:cs="Times New Roman"/>
          <w:sz w:val="24"/>
          <w:szCs w:val="24"/>
          <w:lang w:eastAsia="it-IT"/>
        </w:rPr>
        <w:t>144.</w:t>
      </w:r>
      <w:bookmarkEnd w:id="276"/>
      <w:r w:rsidRPr="00807A92">
        <w:rPr>
          <w:rFonts w:ascii="Times New Roman" w:eastAsia="Times New Roman" w:hAnsi="Times New Roman" w:cs="Times New Roman"/>
          <w:sz w:val="24"/>
          <w:szCs w:val="24"/>
          <w:lang w:eastAsia="it-IT"/>
        </w:rPr>
        <w:t xml:space="preserve"> In my recent Opinion in </w:t>
      </w:r>
      <w:r w:rsidRPr="00807A92">
        <w:rPr>
          <w:rFonts w:ascii="Times New Roman" w:eastAsia="Times New Roman" w:hAnsi="Times New Roman" w:cs="Times New Roman"/>
          <w:i/>
          <w:iCs/>
          <w:sz w:val="24"/>
          <w:szCs w:val="24"/>
          <w:lang w:eastAsia="it-IT"/>
        </w:rPr>
        <w:t>Van Ameyde España</w:t>
      </w:r>
      <w:r w:rsidRPr="00807A92">
        <w:rPr>
          <w:rFonts w:ascii="Times New Roman" w:eastAsia="Times New Roman" w:hAnsi="Times New Roman" w:cs="Times New Roman"/>
          <w:sz w:val="24"/>
          <w:szCs w:val="24"/>
          <w:lang w:eastAsia="it-IT"/>
        </w:rPr>
        <w:t>, another case concerning motor vehicle civil liability insurance, submitted by the Tribunal Supremo (Supreme Court, Spain), I sought to suggest, in more concrete terms, where the (by definition, rather elusive) line between the interpretation and application of EU law could lie. I cannot but refer to that Opinion as an actual case study. (</w:t>
      </w:r>
      <w:bookmarkStart w:id="277" w:name="Footref133"/>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"Footnote133"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133</w:t>
      </w:r>
      <w:r w:rsidRPr="00807A92">
        <w:rPr>
          <w:rFonts w:ascii="Times New Roman" w:eastAsia="Times New Roman" w:hAnsi="Times New Roman" w:cs="Times New Roman"/>
          <w:sz w:val="24"/>
          <w:szCs w:val="24"/>
          <w:lang w:eastAsia="it-IT"/>
        </w:rPr>
        <w:fldChar w:fldCharType="end"/>
      </w:r>
      <w:bookmarkEnd w:id="277"/>
      <w:r w:rsidRPr="00807A92">
        <w:rPr>
          <w:rFonts w:ascii="Times New Roman" w:eastAsia="Times New Roman" w:hAnsi="Times New Roman" w:cs="Times New Roman"/>
          <w:sz w:val="24"/>
          <w:szCs w:val="24"/>
          <w:lang w:eastAsia="it-IT"/>
        </w:rPr>
        <w:t xml:space="preserve">) For the purpose of the first condition of where the obligation to make a reference ought properly to lie, I would add the following. </w:t>
      </w:r>
    </w:p>
    <w:p w14:paraId="66A86F4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78" w:name="point145"/>
      <w:r w:rsidRPr="00807A92">
        <w:rPr>
          <w:rFonts w:ascii="Times New Roman" w:eastAsia="Times New Roman" w:hAnsi="Times New Roman" w:cs="Times New Roman"/>
          <w:sz w:val="24"/>
          <w:szCs w:val="24"/>
          <w:lang w:eastAsia="it-IT"/>
        </w:rPr>
        <w:t>145.</w:t>
      </w:r>
      <w:bookmarkEnd w:id="278"/>
      <w:r w:rsidRPr="00807A92">
        <w:rPr>
          <w:rFonts w:ascii="Times New Roman" w:eastAsia="Times New Roman" w:hAnsi="Times New Roman" w:cs="Times New Roman"/>
          <w:sz w:val="24"/>
          <w:szCs w:val="24"/>
          <w:lang w:eastAsia="it-IT"/>
        </w:rPr>
        <w:t xml:space="preserve"> The duty to refer ought to be triggered whenever a national court of last instance is confronted with an issue of </w:t>
      </w:r>
      <w:r w:rsidRPr="00807A92">
        <w:rPr>
          <w:rFonts w:ascii="Times New Roman" w:eastAsia="Times New Roman" w:hAnsi="Times New Roman" w:cs="Times New Roman"/>
          <w:i/>
          <w:iCs/>
          <w:sz w:val="24"/>
          <w:szCs w:val="24"/>
          <w:lang w:eastAsia="it-IT"/>
        </w:rPr>
        <w:t xml:space="preserve">interpretation </w:t>
      </w:r>
      <w:r w:rsidRPr="00807A92">
        <w:rPr>
          <w:rFonts w:ascii="Times New Roman" w:eastAsia="Times New Roman" w:hAnsi="Times New Roman" w:cs="Times New Roman"/>
          <w:sz w:val="24"/>
          <w:szCs w:val="24"/>
          <w:lang w:eastAsia="it-IT"/>
        </w:rPr>
        <w:t xml:space="preserve">of EU law, formulated at a reasonable and appropriate level of abstraction. That level of abstraction is logically defined by the scope and purpose of the legal provision at issue. In the particular context of (indeterminate) legal concepts of EU law, the task of the Court is to provide an interpretation of that concept. Its application, including the subsumption of specific facts under that definition, is a matter of application of EU law. </w:t>
      </w:r>
    </w:p>
    <w:p w14:paraId="66C2B0F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79" w:name="point146"/>
      <w:r w:rsidRPr="00807A92">
        <w:rPr>
          <w:rFonts w:ascii="Times New Roman" w:eastAsia="Times New Roman" w:hAnsi="Times New Roman" w:cs="Times New Roman"/>
          <w:sz w:val="24"/>
          <w:szCs w:val="24"/>
          <w:lang w:eastAsia="it-IT"/>
        </w:rPr>
        <w:t>146.</w:t>
      </w:r>
      <w:bookmarkEnd w:id="279"/>
      <w:r w:rsidRPr="00807A92">
        <w:rPr>
          <w:rFonts w:ascii="Times New Roman" w:eastAsia="Times New Roman" w:hAnsi="Times New Roman" w:cs="Times New Roman"/>
          <w:sz w:val="24"/>
          <w:szCs w:val="24"/>
          <w:lang w:eastAsia="it-IT"/>
        </w:rPr>
        <w:t xml:space="preserve"> Certainly, a mere application may quickly turn into interpretation, provided, for instance, that the referring court were to invite the Court to narrow, broaden, qualify, or depart from the definition already provided. However, provided that that is indeed what is being requested, the referring court ought to state this element clearly, explaining specifically why the case being referred is more than merely another confirmation (and in this sense application) of the previously stated </w:t>
      </w:r>
      <w:r w:rsidRPr="00807A92">
        <w:rPr>
          <w:rFonts w:ascii="Times New Roman" w:eastAsia="Times New Roman" w:hAnsi="Times New Roman" w:cs="Times New Roman"/>
          <w:i/>
          <w:iCs/>
          <w:sz w:val="24"/>
          <w:szCs w:val="24"/>
          <w:lang w:eastAsia="it-IT"/>
        </w:rPr>
        <w:t>premissa maior</w:t>
      </w:r>
      <w:r w:rsidRPr="00807A92">
        <w:rPr>
          <w:rFonts w:ascii="Times New Roman" w:eastAsia="Times New Roman" w:hAnsi="Times New Roman" w:cs="Times New Roman"/>
          <w:sz w:val="24"/>
          <w:szCs w:val="24"/>
          <w:lang w:eastAsia="it-IT"/>
        </w:rPr>
        <w:t xml:space="preserve">. </w:t>
      </w:r>
    </w:p>
    <w:p w14:paraId="560BE55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80" w:name="point147"/>
      <w:r w:rsidRPr="00807A92">
        <w:rPr>
          <w:rFonts w:ascii="Times New Roman" w:eastAsia="Times New Roman" w:hAnsi="Times New Roman" w:cs="Times New Roman"/>
          <w:sz w:val="24"/>
          <w:szCs w:val="24"/>
          <w:lang w:eastAsia="it-IT"/>
        </w:rPr>
        <w:t>147.</w:t>
      </w:r>
      <w:bookmarkEnd w:id="280"/>
      <w:r w:rsidRPr="00807A92">
        <w:rPr>
          <w:rFonts w:ascii="Times New Roman" w:eastAsia="Times New Roman" w:hAnsi="Times New Roman" w:cs="Times New Roman"/>
          <w:sz w:val="24"/>
          <w:szCs w:val="24"/>
          <w:lang w:eastAsia="it-IT"/>
        </w:rPr>
        <w:t xml:space="preserve"> Moreover, in this sense and in that dimension, the interpretation sought ought to be one of </w:t>
      </w:r>
      <w:r w:rsidRPr="00807A92">
        <w:rPr>
          <w:rFonts w:ascii="Times New Roman" w:eastAsia="Times New Roman" w:hAnsi="Times New Roman" w:cs="Times New Roman"/>
          <w:i/>
          <w:iCs/>
          <w:sz w:val="24"/>
          <w:szCs w:val="24"/>
          <w:lang w:eastAsia="it-IT"/>
        </w:rPr>
        <w:t xml:space="preserve">general or generalisable </w:t>
      </w:r>
      <w:r w:rsidRPr="00807A92">
        <w:rPr>
          <w:rFonts w:ascii="Times New Roman" w:eastAsia="Times New Roman" w:hAnsi="Times New Roman" w:cs="Times New Roman"/>
          <w:sz w:val="24"/>
          <w:szCs w:val="24"/>
          <w:lang w:eastAsia="it-IT"/>
        </w:rPr>
        <w:t xml:space="preserve">impact. The question of interpretation ought to concern a general, potentially recurring question of interpretation of EU law. I wish to emphasise that </w:t>
      </w:r>
      <w:r w:rsidRPr="00807A92">
        <w:rPr>
          <w:rFonts w:ascii="Times New Roman" w:eastAsia="Times New Roman" w:hAnsi="Times New Roman" w:cs="Times New Roman"/>
          <w:i/>
          <w:iCs/>
          <w:sz w:val="24"/>
          <w:szCs w:val="24"/>
          <w:lang w:eastAsia="it-IT"/>
        </w:rPr>
        <w:t>this is not</w:t>
      </w:r>
      <w:r w:rsidRPr="00807A92">
        <w:rPr>
          <w:rFonts w:ascii="Times New Roman" w:eastAsia="Times New Roman" w:hAnsi="Times New Roman" w:cs="Times New Roman"/>
          <w:sz w:val="24"/>
          <w:szCs w:val="24"/>
          <w:lang w:eastAsia="it-IT"/>
        </w:rPr>
        <w:t xml:space="preserve"> a criterion relating to the legal significance or importance of the question asked. It is another, much simpler question for the national court: is the question I am now facing likely to arise again, either before me, or before my colleagues in other Member States? Should I seek guidance from the Court in the interest of uniform interpretation of EU law? </w:t>
      </w:r>
    </w:p>
    <w:p w14:paraId="216962B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81" w:name="point148"/>
      <w:r w:rsidRPr="00807A92">
        <w:rPr>
          <w:rFonts w:ascii="Times New Roman" w:eastAsia="Times New Roman" w:hAnsi="Times New Roman" w:cs="Times New Roman"/>
          <w:sz w:val="24"/>
          <w:szCs w:val="24"/>
          <w:lang w:eastAsia="it-IT"/>
        </w:rPr>
        <w:t>148.</w:t>
      </w:r>
      <w:bookmarkEnd w:id="281"/>
      <w:r w:rsidRPr="00807A92">
        <w:rPr>
          <w:rFonts w:ascii="Times New Roman" w:eastAsia="Times New Roman" w:hAnsi="Times New Roman" w:cs="Times New Roman"/>
          <w:sz w:val="24"/>
          <w:szCs w:val="24"/>
          <w:lang w:eastAsia="it-IT"/>
        </w:rPr>
        <w:t xml:space="preserve"> Such a mental exercise not only helps with the formulation of the question to be referred at an appropriate level of abstraction, because it forces one to identify general, transversal problems, but it also helps with the weeding out of very narrow, singular, or one-off cases which, even if potentially raising an issue of interpretation of EU law, are simply of no general, structural impact. In any case, it is safe to assume that the majority of the national courts of last instance are very well versed in such thinking, although perhaps primarily within the confines of their own systems. A similar type of thinking and reflection ought simply to be applied to the broader, larger level of the EU legal order. </w:t>
      </w:r>
    </w:p>
    <w:p w14:paraId="62FCDDD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82" w:name="point149"/>
      <w:r w:rsidRPr="00807A92">
        <w:rPr>
          <w:rFonts w:ascii="Times New Roman" w:eastAsia="Times New Roman" w:hAnsi="Times New Roman" w:cs="Times New Roman"/>
          <w:sz w:val="24"/>
          <w:szCs w:val="24"/>
          <w:lang w:eastAsia="it-IT"/>
        </w:rPr>
        <w:t>149.</w:t>
      </w:r>
      <w:bookmarkEnd w:id="282"/>
      <w:r w:rsidRPr="00807A92">
        <w:rPr>
          <w:rFonts w:ascii="Times New Roman" w:eastAsia="Times New Roman" w:hAnsi="Times New Roman" w:cs="Times New Roman"/>
          <w:sz w:val="24"/>
          <w:szCs w:val="24"/>
          <w:lang w:eastAsia="it-IT"/>
        </w:rPr>
        <w:t> In summary, I am certainly not suggesting that we get rid of one unicorn in order for it to be replaced immediately by another:(</w:t>
      </w:r>
      <w:bookmarkStart w:id="283" w:name="Footref134"/>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"Footnote134"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134</w:t>
      </w:r>
      <w:r w:rsidRPr="00807A92">
        <w:rPr>
          <w:rFonts w:ascii="Times New Roman" w:eastAsia="Times New Roman" w:hAnsi="Times New Roman" w:cs="Times New Roman"/>
          <w:sz w:val="24"/>
          <w:szCs w:val="24"/>
          <w:lang w:eastAsia="it-IT"/>
        </w:rPr>
        <w:fldChar w:fldCharType="end"/>
      </w:r>
      <w:bookmarkEnd w:id="283"/>
      <w:r w:rsidRPr="00807A92">
        <w:rPr>
          <w:rFonts w:ascii="Times New Roman" w:eastAsia="Times New Roman" w:hAnsi="Times New Roman" w:cs="Times New Roman"/>
          <w:sz w:val="24"/>
          <w:szCs w:val="24"/>
          <w:lang w:eastAsia="it-IT"/>
        </w:rPr>
        <w:t xml:space="preserve">) the idea that there is any clear border between where interpretation ends and applications starts and vice versa. However, the aim of the duty to refer is to ensure the uniform interpretation of EU law, not the correct application of that law. Thus, the uniformity sought is not and has never been at the level of the </w:t>
      </w:r>
      <w:r w:rsidRPr="00807A92">
        <w:rPr>
          <w:rFonts w:ascii="Times New Roman" w:eastAsia="Times New Roman" w:hAnsi="Times New Roman" w:cs="Times New Roman"/>
          <w:i/>
          <w:iCs/>
          <w:sz w:val="24"/>
          <w:szCs w:val="24"/>
          <w:lang w:eastAsia="it-IT"/>
        </w:rPr>
        <w:t>single outcome</w:t>
      </w:r>
      <w:r w:rsidRPr="00807A92">
        <w:rPr>
          <w:rFonts w:ascii="Times New Roman" w:eastAsia="Times New Roman" w:hAnsi="Times New Roman" w:cs="Times New Roman"/>
          <w:sz w:val="24"/>
          <w:szCs w:val="24"/>
          <w:lang w:eastAsia="it-IT"/>
        </w:rPr>
        <w:t xml:space="preserve"> of each individual case, but at the level of the </w:t>
      </w:r>
      <w:r w:rsidRPr="00807A92">
        <w:rPr>
          <w:rFonts w:ascii="Times New Roman" w:eastAsia="Times New Roman" w:hAnsi="Times New Roman" w:cs="Times New Roman"/>
          <w:i/>
          <w:iCs/>
          <w:sz w:val="24"/>
          <w:szCs w:val="24"/>
          <w:lang w:eastAsia="it-IT"/>
        </w:rPr>
        <w:t xml:space="preserve">legal rules </w:t>
      </w:r>
      <w:r w:rsidRPr="00807A92">
        <w:rPr>
          <w:rFonts w:ascii="Times New Roman" w:eastAsia="Times New Roman" w:hAnsi="Times New Roman" w:cs="Times New Roman"/>
          <w:sz w:val="24"/>
          <w:szCs w:val="24"/>
          <w:lang w:eastAsia="it-IT"/>
        </w:rPr>
        <w:t xml:space="preserve">to be applied. This means that, logically, while there is a reasonable degree of uniformity of the legal rules, there may be diversity in terms of specific outcomes. </w:t>
      </w:r>
    </w:p>
    <w:p w14:paraId="19D79FB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t>2.      </w:t>
      </w:r>
      <w:r w:rsidRPr="00807A92">
        <w:rPr>
          <w:rFonts w:ascii="Times New Roman" w:eastAsia="Times New Roman" w:hAnsi="Times New Roman" w:cs="Times New Roman"/>
          <w:b/>
          <w:bCs/>
          <w:i/>
          <w:iCs/>
          <w:sz w:val="24"/>
          <w:szCs w:val="24"/>
          <w:lang w:eastAsia="it-IT"/>
        </w:rPr>
        <w:t>More reasonably possible interpretations </w:t>
      </w:r>
    </w:p>
    <w:p w14:paraId="001790D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84" w:name="point150"/>
      <w:r w:rsidRPr="00807A92">
        <w:rPr>
          <w:rFonts w:ascii="Times New Roman" w:eastAsia="Times New Roman" w:hAnsi="Times New Roman" w:cs="Times New Roman"/>
          <w:sz w:val="24"/>
          <w:szCs w:val="24"/>
          <w:lang w:eastAsia="it-IT"/>
        </w:rPr>
        <w:t>150.</w:t>
      </w:r>
      <w:bookmarkEnd w:id="284"/>
      <w:r w:rsidRPr="00807A92">
        <w:rPr>
          <w:rFonts w:ascii="Times New Roman" w:eastAsia="Times New Roman" w:hAnsi="Times New Roman" w:cs="Times New Roman"/>
          <w:sz w:val="24"/>
          <w:szCs w:val="24"/>
          <w:lang w:eastAsia="it-IT"/>
        </w:rPr>
        <w:t xml:space="preserve"> Is it </w:t>
      </w:r>
      <w:r w:rsidRPr="00807A92">
        <w:rPr>
          <w:rFonts w:ascii="Times New Roman" w:eastAsia="Times New Roman" w:hAnsi="Times New Roman" w:cs="Times New Roman"/>
          <w:i/>
          <w:iCs/>
          <w:sz w:val="24"/>
          <w:szCs w:val="24"/>
          <w:lang w:eastAsia="it-IT"/>
        </w:rPr>
        <w:t>objectively</w:t>
      </w:r>
      <w:r w:rsidRPr="00807A92">
        <w:rPr>
          <w:rFonts w:ascii="Times New Roman" w:eastAsia="Times New Roman" w:hAnsi="Times New Roman" w:cs="Times New Roman"/>
          <w:sz w:val="24"/>
          <w:szCs w:val="24"/>
          <w:lang w:eastAsia="it-IT"/>
        </w:rPr>
        <w:t xml:space="preserve"> possible to interpret a specific point of EU law in different ways? A necessary part of any of the conditions of the duty to refer will always be a study of the alternatives. That being said, in contrast to the inherently </w:t>
      </w:r>
      <w:r w:rsidRPr="00807A92">
        <w:rPr>
          <w:rFonts w:ascii="Times New Roman" w:eastAsia="Times New Roman" w:hAnsi="Times New Roman" w:cs="Times New Roman"/>
          <w:i/>
          <w:iCs/>
          <w:sz w:val="24"/>
          <w:szCs w:val="24"/>
          <w:lang w:eastAsia="it-IT"/>
        </w:rPr>
        <w:t>internal</w:t>
      </w:r>
      <w:r w:rsidRPr="00807A92">
        <w:rPr>
          <w:rFonts w:ascii="Times New Roman" w:eastAsia="Times New Roman" w:hAnsi="Times New Roman" w:cs="Times New Roman"/>
          <w:sz w:val="24"/>
          <w:szCs w:val="24"/>
          <w:lang w:eastAsia="it-IT"/>
        </w:rPr>
        <w:t xml:space="preserve"> and </w:t>
      </w:r>
      <w:r w:rsidRPr="00807A92">
        <w:rPr>
          <w:rFonts w:ascii="Times New Roman" w:eastAsia="Times New Roman" w:hAnsi="Times New Roman" w:cs="Times New Roman"/>
          <w:i/>
          <w:iCs/>
          <w:sz w:val="24"/>
          <w:szCs w:val="24"/>
          <w:lang w:eastAsia="it-IT"/>
        </w:rPr>
        <w:t xml:space="preserve">subjective </w:t>
      </w:r>
      <w:r w:rsidRPr="00807A92">
        <w:rPr>
          <w:rFonts w:ascii="Times New Roman" w:eastAsia="Times New Roman" w:hAnsi="Times New Roman" w:cs="Times New Roman"/>
          <w:sz w:val="24"/>
          <w:szCs w:val="24"/>
          <w:lang w:eastAsia="it-IT"/>
        </w:rPr>
        <w:t xml:space="preserve">uncertainty in the form of any reasonable doubt as to the outcome of an individual case, it is the existence of plausible alternatives that place similar considerations on a more </w:t>
      </w:r>
      <w:r w:rsidRPr="00807A92">
        <w:rPr>
          <w:rFonts w:ascii="Times New Roman" w:eastAsia="Times New Roman" w:hAnsi="Times New Roman" w:cs="Times New Roman"/>
          <w:i/>
          <w:iCs/>
          <w:sz w:val="24"/>
          <w:szCs w:val="24"/>
          <w:lang w:eastAsia="it-IT"/>
        </w:rPr>
        <w:t xml:space="preserve">external </w:t>
      </w:r>
      <w:r w:rsidRPr="00807A92">
        <w:rPr>
          <w:rFonts w:ascii="Times New Roman" w:eastAsia="Times New Roman" w:hAnsi="Times New Roman" w:cs="Times New Roman"/>
          <w:sz w:val="24"/>
          <w:szCs w:val="24"/>
          <w:lang w:eastAsia="it-IT"/>
        </w:rPr>
        <w:t>and</w:t>
      </w:r>
      <w:r w:rsidRPr="00807A92">
        <w:rPr>
          <w:rFonts w:ascii="Times New Roman" w:eastAsia="Times New Roman" w:hAnsi="Times New Roman" w:cs="Times New Roman"/>
          <w:i/>
          <w:iCs/>
          <w:sz w:val="24"/>
          <w:szCs w:val="24"/>
          <w:lang w:eastAsia="it-IT"/>
        </w:rPr>
        <w:t xml:space="preserve"> objective</w:t>
      </w:r>
      <w:r w:rsidRPr="00807A92">
        <w:rPr>
          <w:rFonts w:ascii="Times New Roman" w:eastAsia="Times New Roman" w:hAnsi="Times New Roman" w:cs="Times New Roman"/>
          <w:sz w:val="24"/>
          <w:szCs w:val="24"/>
          <w:lang w:eastAsia="it-IT"/>
        </w:rPr>
        <w:t xml:space="preserve"> footing. Hence the suggestion to refocus attention from a mere ‘I do not know’ to ‘these are the alternatives I have to choose from’. </w:t>
      </w:r>
    </w:p>
    <w:p w14:paraId="231D568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85" w:name="point151"/>
      <w:r w:rsidRPr="00807A92">
        <w:rPr>
          <w:rFonts w:ascii="Times New Roman" w:eastAsia="Times New Roman" w:hAnsi="Times New Roman" w:cs="Times New Roman"/>
          <w:sz w:val="24"/>
          <w:szCs w:val="24"/>
          <w:lang w:eastAsia="it-IT"/>
        </w:rPr>
        <w:t>151.</w:t>
      </w:r>
      <w:bookmarkEnd w:id="285"/>
      <w:r w:rsidRPr="00807A92">
        <w:rPr>
          <w:rFonts w:ascii="Times New Roman" w:eastAsia="Times New Roman" w:hAnsi="Times New Roman" w:cs="Times New Roman"/>
          <w:sz w:val="24"/>
          <w:szCs w:val="24"/>
          <w:lang w:eastAsia="it-IT"/>
        </w:rPr>
        <w:t> I stress the importance of the adjective ‘possible’ or ‘plausible’. It is certainly not suggested that a referring court would be obliged to set out the alternatives fully, to reason through them, or even to explain which one it favours. (</w:t>
      </w:r>
      <w:bookmarkStart w:id="286" w:name="Footref135"/>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"Footnote135"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135</w:t>
      </w:r>
      <w:r w:rsidRPr="00807A92">
        <w:rPr>
          <w:rFonts w:ascii="Times New Roman" w:eastAsia="Times New Roman" w:hAnsi="Times New Roman" w:cs="Times New Roman"/>
          <w:sz w:val="24"/>
          <w:szCs w:val="24"/>
          <w:lang w:eastAsia="it-IT"/>
        </w:rPr>
        <w:fldChar w:fldCharType="end"/>
      </w:r>
      <w:bookmarkEnd w:id="286"/>
      <w:r w:rsidRPr="00807A92">
        <w:rPr>
          <w:rFonts w:ascii="Times New Roman" w:eastAsia="Times New Roman" w:hAnsi="Times New Roman" w:cs="Times New Roman"/>
          <w:sz w:val="24"/>
          <w:szCs w:val="24"/>
          <w:lang w:eastAsia="it-IT"/>
        </w:rPr>
        <w:t xml:space="preserve">) However, there ought to be more than a mere subjective doubt, or even absence of knowledge, to justify a duty to refer. </w:t>
      </w:r>
    </w:p>
    <w:p w14:paraId="378CAC7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87" w:name="point152"/>
      <w:r w:rsidRPr="00807A92">
        <w:rPr>
          <w:rFonts w:ascii="Times New Roman" w:eastAsia="Times New Roman" w:hAnsi="Times New Roman" w:cs="Times New Roman"/>
          <w:sz w:val="24"/>
          <w:szCs w:val="24"/>
          <w:lang w:eastAsia="it-IT"/>
        </w:rPr>
        <w:t>152.</w:t>
      </w:r>
      <w:bookmarkEnd w:id="287"/>
      <w:r w:rsidRPr="00807A92">
        <w:rPr>
          <w:rFonts w:ascii="Times New Roman" w:eastAsia="Times New Roman" w:hAnsi="Times New Roman" w:cs="Times New Roman"/>
          <w:sz w:val="24"/>
          <w:szCs w:val="24"/>
          <w:lang w:eastAsia="it-IT"/>
        </w:rPr>
        <w:t> However, where there are two or more potential interpretations proposed before the national court of last instance, the duty to refer becomes strict. After all, it is precisely for this reason that the duty was originally imposed: it is to apply when there is a choice between a number of options ‘on the table’ available. The following scenarios are particularly pertinent in providing an illustration as to when such a situation may arise.</w:t>
      </w:r>
    </w:p>
    <w:p w14:paraId="2AC146A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88" w:name="point153"/>
      <w:r w:rsidRPr="00807A92">
        <w:rPr>
          <w:rFonts w:ascii="Times New Roman" w:eastAsia="Times New Roman" w:hAnsi="Times New Roman" w:cs="Times New Roman"/>
          <w:sz w:val="24"/>
          <w:szCs w:val="24"/>
          <w:lang w:eastAsia="it-IT"/>
        </w:rPr>
        <w:t>153.</w:t>
      </w:r>
      <w:bookmarkEnd w:id="288"/>
      <w:r w:rsidRPr="00807A92">
        <w:rPr>
          <w:rFonts w:ascii="Times New Roman" w:eastAsia="Times New Roman" w:hAnsi="Times New Roman" w:cs="Times New Roman"/>
          <w:sz w:val="24"/>
          <w:szCs w:val="24"/>
          <w:lang w:eastAsia="it-IT"/>
        </w:rPr>
        <w:t xml:space="preserve"> First, there are examples where different interpretations of the same rule have been adopted in final decisions of national courts. Any other court of last instance being seised of the dispute involving the same element of EU law and having </w:t>
      </w:r>
      <w:r w:rsidRPr="00807A92">
        <w:rPr>
          <w:rFonts w:ascii="Times New Roman" w:eastAsia="Times New Roman" w:hAnsi="Times New Roman" w:cs="Times New Roman"/>
          <w:i/>
          <w:iCs/>
          <w:sz w:val="24"/>
          <w:szCs w:val="24"/>
          <w:lang w:eastAsia="it-IT"/>
        </w:rPr>
        <w:t>detected a divergence</w:t>
      </w:r>
      <w:r w:rsidRPr="00807A92">
        <w:rPr>
          <w:rFonts w:ascii="Times New Roman" w:eastAsia="Times New Roman" w:hAnsi="Times New Roman" w:cs="Times New Roman"/>
          <w:sz w:val="24"/>
          <w:szCs w:val="24"/>
          <w:lang w:eastAsia="it-IT"/>
        </w:rPr>
        <w:t xml:space="preserve"> in interpretation of the same rule is bound to make a reference, in order to clarify which of the strands of case-law is in fact correct. It does not matter whether such a detected divergence is within the same Member State or across several Member States. Indeed, I also fail to see the logic under which divergence in the strands of national case-law only would not be sufficient for there objectively to be divergent case-law on the same matter within the Union (</w:t>
      </w:r>
      <w:bookmarkStart w:id="289" w:name="Footref136"/>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"Footnote136"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136</w:t>
      </w:r>
      <w:r w:rsidRPr="00807A92">
        <w:rPr>
          <w:rFonts w:ascii="Times New Roman" w:eastAsia="Times New Roman" w:hAnsi="Times New Roman" w:cs="Times New Roman"/>
          <w:sz w:val="24"/>
          <w:szCs w:val="24"/>
          <w:lang w:eastAsia="it-IT"/>
        </w:rPr>
        <w:fldChar w:fldCharType="end"/>
      </w:r>
      <w:bookmarkEnd w:id="289"/>
      <w:r w:rsidRPr="00807A92">
        <w:rPr>
          <w:rFonts w:ascii="Times New Roman" w:eastAsia="Times New Roman" w:hAnsi="Times New Roman" w:cs="Times New Roman"/>
          <w:sz w:val="24"/>
          <w:szCs w:val="24"/>
          <w:lang w:eastAsia="it-IT"/>
        </w:rPr>
        <w:t xml:space="preserve">) unless it were to be a singular variant of reverse discrimination. After all, the logic underlying </w:t>
      </w:r>
      <w:r w:rsidRPr="00807A92">
        <w:rPr>
          <w:rFonts w:ascii="Times New Roman" w:eastAsia="Times New Roman" w:hAnsi="Times New Roman" w:cs="Times New Roman"/>
          <w:i/>
          <w:iCs/>
          <w:sz w:val="24"/>
          <w:szCs w:val="24"/>
          <w:lang w:eastAsia="it-IT"/>
        </w:rPr>
        <w:t>Hoffmann-Laroche</w:t>
      </w:r>
      <w:r w:rsidRPr="00807A92">
        <w:rPr>
          <w:rFonts w:ascii="Times New Roman" w:eastAsia="Times New Roman" w:hAnsi="Times New Roman" w:cs="Times New Roman"/>
          <w:sz w:val="24"/>
          <w:szCs w:val="24"/>
          <w:lang w:eastAsia="it-IT"/>
        </w:rPr>
        <w:t xml:space="preserve"> is that there be deviation from the common approach ‘in any of the Member States’, and for a good reason: there can be no uniform interpretation if parts of a Member State simply go their own way? </w:t>
      </w:r>
    </w:p>
    <w:p w14:paraId="53BFF39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90" w:name="point154"/>
      <w:r w:rsidRPr="00807A92">
        <w:rPr>
          <w:rFonts w:ascii="Times New Roman" w:eastAsia="Times New Roman" w:hAnsi="Times New Roman" w:cs="Times New Roman"/>
          <w:sz w:val="24"/>
          <w:szCs w:val="24"/>
          <w:lang w:eastAsia="it-IT"/>
        </w:rPr>
        <w:t>154.</w:t>
      </w:r>
      <w:bookmarkEnd w:id="290"/>
      <w:r w:rsidRPr="00807A92">
        <w:rPr>
          <w:rFonts w:ascii="Times New Roman" w:eastAsia="Times New Roman" w:hAnsi="Times New Roman" w:cs="Times New Roman"/>
          <w:sz w:val="24"/>
          <w:szCs w:val="24"/>
          <w:lang w:eastAsia="it-IT"/>
        </w:rPr>
        <w:t xml:space="preserve"> However, I would place emphasis on the </w:t>
      </w:r>
      <w:r w:rsidRPr="00807A92">
        <w:rPr>
          <w:rFonts w:ascii="Times New Roman" w:eastAsia="Times New Roman" w:hAnsi="Times New Roman" w:cs="Times New Roman"/>
          <w:i/>
          <w:iCs/>
          <w:sz w:val="24"/>
          <w:szCs w:val="24"/>
          <w:lang w:eastAsia="it-IT"/>
        </w:rPr>
        <w:t xml:space="preserve">final </w:t>
      </w:r>
      <w:r w:rsidRPr="00807A92">
        <w:rPr>
          <w:rFonts w:ascii="Times New Roman" w:eastAsia="Times New Roman" w:hAnsi="Times New Roman" w:cs="Times New Roman"/>
          <w:sz w:val="24"/>
          <w:szCs w:val="24"/>
          <w:lang w:eastAsia="it-IT"/>
        </w:rPr>
        <w:t xml:space="preserve">existing decisions issued at a national level. What is sought is an articulated difference in interpretation at the horizontal level, be it within the same Member State (different courts of appeal, different chambers or formations of the highest jurisdictions) or across the Member States. The same might not be necessarily true of </w:t>
      </w:r>
      <w:r w:rsidRPr="00807A92">
        <w:rPr>
          <w:rFonts w:ascii="Times New Roman" w:eastAsia="Times New Roman" w:hAnsi="Times New Roman" w:cs="Times New Roman"/>
          <w:i/>
          <w:iCs/>
          <w:sz w:val="24"/>
          <w:szCs w:val="24"/>
          <w:lang w:eastAsia="it-IT"/>
        </w:rPr>
        <w:t xml:space="preserve">one single set of proceedings </w:t>
      </w:r>
      <w:r w:rsidRPr="00807A92">
        <w:rPr>
          <w:rFonts w:ascii="Times New Roman" w:eastAsia="Times New Roman" w:hAnsi="Times New Roman" w:cs="Times New Roman"/>
          <w:sz w:val="24"/>
          <w:szCs w:val="24"/>
          <w:lang w:eastAsia="it-IT"/>
        </w:rPr>
        <w:t xml:space="preserve">which is still being decided. In such a situation, in which, for instance, the interpretation embraced by the first-instance court differs from that adopted by the court of appeal, with the case now pending before a supreme court, might also involve two or more approaches to the same rule. However, in contrast to a situation where there are divergent interpretations across individual final decisions of various courts, this does not automatically mean more reasonable and plausible ways of interpreting the same EU law rule. Within one and the same procedure, it indeed cannot be excluded that one court simply made a mistake. By contrast, divergence in case-law across different proceedings is no longer a mistake, but a structural problem for EU law and national law alike. </w:t>
      </w:r>
    </w:p>
    <w:p w14:paraId="05F1DFC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91" w:name="point155"/>
      <w:r w:rsidRPr="00807A92">
        <w:rPr>
          <w:rFonts w:ascii="Times New Roman" w:eastAsia="Times New Roman" w:hAnsi="Times New Roman" w:cs="Times New Roman"/>
          <w:sz w:val="24"/>
          <w:szCs w:val="24"/>
          <w:lang w:eastAsia="it-IT"/>
        </w:rPr>
        <w:t>155.</w:t>
      </w:r>
      <w:bookmarkEnd w:id="291"/>
      <w:r w:rsidRPr="00807A92">
        <w:rPr>
          <w:rFonts w:ascii="Times New Roman" w:eastAsia="Times New Roman" w:hAnsi="Times New Roman" w:cs="Times New Roman"/>
          <w:sz w:val="24"/>
          <w:szCs w:val="24"/>
          <w:lang w:eastAsia="it-IT"/>
        </w:rPr>
        <w:t xml:space="preserve"> Second, all other situations, even including that of different interpretations adopted within one and the same set of proceedings, are then simply to be assessed in the light of each individual case. In the proceedings before the court of last instance, were there indeed plausible alternatives as to the interpretation of the same rules, regardless of where they came from? They could have been in the submissions of the parties; they could have come from the various actors involved in the national </w:t>
      </w:r>
      <w:r w:rsidRPr="00807A92">
        <w:rPr>
          <w:rFonts w:ascii="Times New Roman" w:eastAsia="Times New Roman" w:hAnsi="Times New Roman" w:cs="Times New Roman"/>
          <w:sz w:val="24"/>
          <w:szCs w:val="24"/>
          <w:lang w:eastAsia="it-IT"/>
        </w:rPr>
        <w:lastRenderedPageBreak/>
        <w:t xml:space="preserve">proceedings; or indeed could have stemmed from the various previous judgments within the same proceedings, where the difference was not a mistake but rather the manifestation of plausible alternatives. </w:t>
      </w:r>
    </w:p>
    <w:p w14:paraId="2B226D9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92" w:name="point156"/>
      <w:r w:rsidRPr="00807A92">
        <w:rPr>
          <w:rFonts w:ascii="Times New Roman" w:eastAsia="Times New Roman" w:hAnsi="Times New Roman" w:cs="Times New Roman"/>
          <w:sz w:val="24"/>
          <w:szCs w:val="24"/>
          <w:lang w:eastAsia="it-IT"/>
        </w:rPr>
        <w:t>156.</w:t>
      </w:r>
      <w:bookmarkEnd w:id="292"/>
      <w:r w:rsidRPr="00807A92">
        <w:rPr>
          <w:rFonts w:ascii="Times New Roman" w:eastAsia="Times New Roman" w:hAnsi="Times New Roman" w:cs="Times New Roman"/>
          <w:sz w:val="24"/>
          <w:szCs w:val="24"/>
          <w:lang w:eastAsia="it-IT"/>
        </w:rPr>
        <w:t xml:space="preserve"> In addition, such doubts as to the choice between possible interpretations of one rule may naturally always come from the national court itself. However, in view of all that has been stated above in this section, I wish to emphasise one rather important point: reality and realism. One can hardly expect the national courts of last instance to suddenly turn into comparative EU law research centres, whereby they themselves, so to say </w:t>
      </w:r>
      <w:r w:rsidRPr="00807A92">
        <w:rPr>
          <w:rFonts w:ascii="Times New Roman" w:eastAsia="Times New Roman" w:hAnsi="Times New Roman" w:cs="Times New Roman"/>
          <w:i/>
          <w:iCs/>
          <w:sz w:val="24"/>
          <w:szCs w:val="24"/>
          <w:lang w:eastAsia="it-IT"/>
        </w:rPr>
        <w:t>ex officio</w:t>
      </w:r>
      <w:r w:rsidRPr="00807A92">
        <w:rPr>
          <w:rFonts w:ascii="Times New Roman" w:eastAsia="Times New Roman" w:hAnsi="Times New Roman" w:cs="Times New Roman"/>
          <w:sz w:val="24"/>
          <w:szCs w:val="24"/>
          <w:lang w:eastAsia="it-IT"/>
        </w:rPr>
        <w:t xml:space="preserve">, carry out searches into the case-law of other national courts in other Member States, or start looking proactively into finding interpretative problems. </w:t>
      </w:r>
    </w:p>
    <w:p w14:paraId="62D24E2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93" w:name="point157"/>
      <w:r w:rsidRPr="00807A92">
        <w:rPr>
          <w:rFonts w:ascii="Times New Roman" w:eastAsia="Times New Roman" w:hAnsi="Times New Roman" w:cs="Times New Roman"/>
          <w:sz w:val="24"/>
          <w:szCs w:val="24"/>
          <w:lang w:eastAsia="it-IT"/>
        </w:rPr>
        <w:t>157.</w:t>
      </w:r>
      <w:bookmarkEnd w:id="293"/>
      <w:r w:rsidRPr="00807A92">
        <w:rPr>
          <w:rFonts w:ascii="Times New Roman" w:eastAsia="Times New Roman" w:hAnsi="Times New Roman" w:cs="Times New Roman"/>
          <w:sz w:val="24"/>
          <w:szCs w:val="24"/>
          <w:lang w:eastAsia="it-IT"/>
        </w:rPr>
        <w:t xml:space="preserve"> That being said, what certainly can be expected of national courts of last instance is that they should recognise that there is objectively a divergence in legal interpretation if that divergence has been brought expressly to their attention by any of the actors in the proceedings before them, in particular by the parties themselves. Provided that there is indeed a divergence in possible legal interpretation, demonstrated by possible alternatives, then, using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terminology, (reasonable) doubt can be considered to have been objectively and externally established in the dispute before them and the duty to refer in the interest of ensuring uniform interpretation of EU law cannot then be ignored. </w:t>
      </w:r>
    </w:p>
    <w:p w14:paraId="390E3A3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3.      </w:t>
      </w:r>
      <w:r w:rsidRPr="00807A92">
        <w:rPr>
          <w:rFonts w:ascii="Times New Roman" w:eastAsia="Times New Roman" w:hAnsi="Times New Roman" w:cs="Times New Roman"/>
          <w:b/>
          <w:bCs/>
          <w:i/>
          <w:iCs/>
          <w:sz w:val="24"/>
          <w:szCs w:val="24"/>
          <w:lang w:eastAsia="it-IT"/>
        </w:rPr>
        <w:t>No case-law of the Court of Justice</w:t>
      </w:r>
    </w:p>
    <w:p w14:paraId="71DD15D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94" w:name="point158"/>
      <w:r w:rsidRPr="00807A92">
        <w:rPr>
          <w:rFonts w:ascii="Times New Roman" w:eastAsia="Times New Roman" w:hAnsi="Times New Roman" w:cs="Times New Roman"/>
          <w:sz w:val="24"/>
          <w:szCs w:val="24"/>
          <w:lang w:eastAsia="it-IT"/>
        </w:rPr>
        <w:t>158.</w:t>
      </w:r>
      <w:bookmarkEnd w:id="294"/>
      <w:r w:rsidRPr="00807A92">
        <w:rPr>
          <w:rFonts w:ascii="Times New Roman" w:eastAsia="Times New Roman" w:hAnsi="Times New Roman" w:cs="Times New Roman"/>
          <w:sz w:val="24"/>
          <w:szCs w:val="24"/>
          <w:lang w:eastAsia="it-IT"/>
        </w:rPr>
        <w:t xml:space="preserve"> There is likely to be no shortage of (heated) discussion about what exactly, in a specific scenario, is ‘established case-law’, and whether everybody understands exactly what has been ‘established’ in the same way. However, at a conceptual level, it is indeed </w:t>
      </w:r>
      <w:r w:rsidRPr="00807A92">
        <w:rPr>
          <w:rFonts w:ascii="Times New Roman" w:eastAsia="Times New Roman" w:hAnsi="Times New Roman" w:cs="Times New Roman"/>
          <w:i/>
          <w:iCs/>
          <w:sz w:val="24"/>
          <w:szCs w:val="24"/>
          <w:lang w:eastAsia="it-IT"/>
        </w:rPr>
        <w:t>Da Costa</w:t>
      </w:r>
      <w:r w:rsidRPr="00807A92">
        <w:rPr>
          <w:rFonts w:ascii="Times New Roman" w:eastAsia="Times New Roman" w:hAnsi="Times New Roman" w:cs="Times New Roman"/>
          <w:sz w:val="24"/>
          <w:szCs w:val="24"/>
          <w:lang w:eastAsia="it-IT"/>
        </w:rPr>
        <w:t>,</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w:t>
      </w:r>
      <w:bookmarkStart w:id="295" w:name="Footref137"/>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"Footnote137"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137</w:t>
      </w:r>
      <w:r w:rsidRPr="00807A92">
        <w:rPr>
          <w:rFonts w:ascii="Times New Roman" w:eastAsia="Times New Roman" w:hAnsi="Times New Roman" w:cs="Times New Roman"/>
          <w:sz w:val="24"/>
          <w:szCs w:val="24"/>
          <w:lang w:eastAsia="it-IT"/>
        </w:rPr>
        <w:fldChar w:fldCharType="end"/>
      </w:r>
      <w:bookmarkEnd w:id="295"/>
      <w:r w:rsidRPr="00807A92">
        <w:rPr>
          <w:rFonts w:ascii="Times New Roman" w:eastAsia="Times New Roman" w:hAnsi="Times New Roman" w:cs="Times New Roman"/>
          <w:sz w:val="24"/>
          <w:szCs w:val="24"/>
          <w:lang w:eastAsia="it-IT"/>
        </w:rPr>
        <w:t xml:space="preserve">) as retained and expanded by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w:t>
      </w:r>
      <w:bookmarkStart w:id="296" w:name="Footref138"/>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"Footnote138"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138</w:t>
      </w:r>
      <w:r w:rsidRPr="00807A92">
        <w:rPr>
          <w:rFonts w:ascii="Times New Roman" w:eastAsia="Times New Roman" w:hAnsi="Times New Roman" w:cs="Times New Roman"/>
          <w:sz w:val="24"/>
          <w:szCs w:val="24"/>
          <w:lang w:eastAsia="it-IT"/>
        </w:rPr>
        <w:fldChar w:fldCharType="end"/>
      </w:r>
      <w:bookmarkEnd w:id="296"/>
      <w:r w:rsidRPr="00807A92">
        <w:rPr>
          <w:rFonts w:ascii="Times New Roman" w:eastAsia="Times New Roman" w:hAnsi="Times New Roman" w:cs="Times New Roman"/>
          <w:sz w:val="24"/>
          <w:szCs w:val="24"/>
          <w:lang w:eastAsia="it-IT"/>
        </w:rPr>
        <w:t xml:space="preserve">) which requires the least revisiting. A national court of last instance is obliged to make a reference if it faces a new question of interpretation of EU law, or a question which cannot fully be settled on the basis of existing case-law of the Court, or where it is appropriate to invite the Court to clarify or to revisit some of its previous decisions. </w:t>
      </w:r>
    </w:p>
    <w:p w14:paraId="499BD79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97" w:name="point159"/>
      <w:r w:rsidRPr="00807A92">
        <w:rPr>
          <w:rFonts w:ascii="Times New Roman" w:eastAsia="Times New Roman" w:hAnsi="Times New Roman" w:cs="Times New Roman"/>
          <w:sz w:val="24"/>
          <w:szCs w:val="24"/>
          <w:lang w:eastAsia="it-IT"/>
        </w:rPr>
        <w:t>159.</w:t>
      </w:r>
      <w:bookmarkEnd w:id="297"/>
      <w:r w:rsidRPr="00807A92">
        <w:rPr>
          <w:rFonts w:ascii="Times New Roman" w:eastAsia="Times New Roman" w:hAnsi="Times New Roman" w:cs="Times New Roman"/>
          <w:sz w:val="24"/>
          <w:szCs w:val="24"/>
          <w:lang w:eastAsia="it-IT"/>
        </w:rPr>
        <w:t> Put simply, the second condition and the present, third condition are facets of the same concern – the first condition concerns the uniform interpretation of EU law – in different types of directions and with different actors. The second condition concerns horizontal coherence and national case-law, while the third, focuses on the decisions of the Court of Justice and their effects.</w:t>
      </w:r>
    </w:p>
    <w:p w14:paraId="7AAA605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98" w:name="point160"/>
      <w:r w:rsidRPr="00807A92">
        <w:rPr>
          <w:rFonts w:ascii="Times New Roman" w:eastAsia="Times New Roman" w:hAnsi="Times New Roman" w:cs="Times New Roman"/>
          <w:sz w:val="24"/>
          <w:szCs w:val="24"/>
          <w:lang w:eastAsia="it-IT"/>
        </w:rPr>
        <w:t>160.</w:t>
      </w:r>
      <w:bookmarkEnd w:id="298"/>
      <w:r w:rsidRPr="00807A92">
        <w:rPr>
          <w:rFonts w:ascii="Times New Roman" w:eastAsia="Times New Roman" w:hAnsi="Times New Roman" w:cs="Times New Roman"/>
          <w:sz w:val="24"/>
          <w:szCs w:val="24"/>
          <w:lang w:eastAsia="it-IT"/>
        </w:rPr>
        <w:t> A national court of last instance is therefore not obliged to refer a question of interpretation of EU law if the same provision has already been interpreted by the Court. The same applies in the situation where previous decisions of the Court, handed down in whatever type of proceedings, have already provided sufficient interpretative guidance allowing the national court to settle the issue before it with confidence on the basis of existing case-law.</w:t>
      </w:r>
    </w:p>
    <w:p w14:paraId="753EFB6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299" w:name="point161"/>
      <w:r w:rsidRPr="00807A92">
        <w:rPr>
          <w:rFonts w:ascii="Times New Roman" w:eastAsia="Times New Roman" w:hAnsi="Times New Roman" w:cs="Times New Roman"/>
          <w:sz w:val="24"/>
          <w:szCs w:val="24"/>
          <w:lang w:eastAsia="it-IT"/>
        </w:rPr>
        <w:t>161.</w:t>
      </w:r>
      <w:bookmarkEnd w:id="299"/>
      <w:r w:rsidRPr="00807A92">
        <w:rPr>
          <w:rFonts w:ascii="Times New Roman" w:eastAsia="Times New Roman" w:hAnsi="Times New Roman" w:cs="Times New Roman"/>
          <w:sz w:val="24"/>
          <w:szCs w:val="24"/>
          <w:lang w:eastAsia="it-IT"/>
        </w:rPr>
        <w:t xml:space="preserve"> I would just conclude with three additional clarifications in this regard. </w:t>
      </w:r>
    </w:p>
    <w:p w14:paraId="0C3FFDA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00" w:name="point162"/>
      <w:r w:rsidRPr="00807A92">
        <w:rPr>
          <w:rFonts w:ascii="Times New Roman" w:eastAsia="Times New Roman" w:hAnsi="Times New Roman" w:cs="Times New Roman"/>
          <w:sz w:val="24"/>
          <w:szCs w:val="24"/>
          <w:lang w:eastAsia="it-IT"/>
        </w:rPr>
        <w:t>162.</w:t>
      </w:r>
      <w:bookmarkEnd w:id="300"/>
      <w:r w:rsidRPr="00807A92">
        <w:rPr>
          <w:rFonts w:ascii="Times New Roman" w:eastAsia="Times New Roman" w:hAnsi="Times New Roman" w:cs="Times New Roman"/>
          <w:sz w:val="24"/>
          <w:szCs w:val="24"/>
          <w:lang w:eastAsia="it-IT"/>
        </w:rPr>
        <w:t xml:space="preserve"> First, it might be worth pointing out again the logical connection between the third condition and the first one: what is to be established and should clearly be inferable from the case-law is the </w:t>
      </w:r>
      <w:r w:rsidRPr="00807A92">
        <w:rPr>
          <w:rFonts w:ascii="Times New Roman" w:eastAsia="Times New Roman" w:hAnsi="Times New Roman" w:cs="Times New Roman"/>
          <w:i/>
          <w:iCs/>
          <w:sz w:val="24"/>
          <w:szCs w:val="24"/>
          <w:lang w:eastAsia="it-IT"/>
        </w:rPr>
        <w:t>EU law rule</w:t>
      </w:r>
      <w:r w:rsidRPr="00807A92">
        <w:rPr>
          <w:rFonts w:ascii="Times New Roman" w:eastAsia="Times New Roman" w:hAnsi="Times New Roman" w:cs="Times New Roman"/>
          <w:sz w:val="24"/>
          <w:szCs w:val="24"/>
          <w:lang w:eastAsia="it-IT"/>
        </w:rPr>
        <w:t xml:space="preserve"> to be applied, not the outcome of the specific case. Thus again, for example, the EU law interpretation of what constitutes ‘extraordinary circumstance’ was established the moment the definition of that event was stated and confirmed by the Court. Unless a court of last instance were to face a situation in which it wished to revisit, refine, or to depart from that definition, it is simply to apply it without being obliged to seek guidance on whether, for example, in addition to all the </w:t>
      </w:r>
      <w:r w:rsidRPr="00807A92">
        <w:rPr>
          <w:rFonts w:ascii="Times New Roman" w:eastAsia="Times New Roman" w:hAnsi="Times New Roman" w:cs="Times New Roman"/>
          <w:sz w:val="24"/>
          <w:szCs w:val="24"/>
          <w:lang w:eastAsia="it-IT"/>
        </w:rPr>
        <w:lastRenderedPageBreak/>
        <w:t>factual scenarios already covered by the Court, (</w:t>
      </w:r>
      <w:bookmarkStart w:id="301" w:name="Footref139"/>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"Footnote139"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139</w:t>
      </w:r>
      <w:r w:rsidRPr="00807A92">
        <w:rPr>
          <w:rFonts w:ascii="Times New Roman" w:eastAsia="Times New Roman" w:hAnsi="Times New Roman" w:cs="Times New Roman"/>
          <w:sz w:val="24"/>
          <w:szCs w:val="24"/>
          <w:lang w:eastAsia="it-IT"/>
        </w:rPr>
        <w:fldChar w:fldCharType="end"/>
      </w:r>
      <w:bookmarkEnd w:id="301"/>
      <w:r w:rsidRPr="00807A92">
        <w:rPr>
          <w:rFonts w:ascii="Times New Roman" w:eastAsia="Times New Roman" w:hAnsi="Times New Roman" w:cs="Times New Roman"/>
          <w:sz w:val="24"/>
          <w:szCs w:val="24"/>
          <w:lang w:eastAsia="it-IT"/>
        </w:rPr>
        <w:t xml:space="preserve">) extraordinary circumstances would also apply in the event of a deer or a naked man running on the runway. </w:t>
      </w:r>
    </w:p>
    <w:p w14:paraId="0DF1E78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02" w:name="point163"/>
      <w:r w:rsidRPr="00807A92">
        <w:rPr>
          <w:rFonts w:ascii="Times New Roman" w:eastAsia="Times New Roman" w:hAnsi="Times New Roman" w:cs="Times New Roman"/>
          <w:sz w:val="24"/>
          <w:szCs w:val="24"/>
          <w:lang w:eastAsia="it-IT"/>
        </w:rPr>
        <w:t>163.</w:t>
      </w:r>
      <w:bookmarkEnd w:id="302"/>
      <w:r w:rsidRPr="00807A92">
        <w:rPr>
          <w:rFonts w:ascii="Times New Roman" w:eastAsia="Times New Roman" w:hAnsi="Times New Roman" w:cs="Times New Roman"/>
          <w:sz w:val="24"/>
          <w:szCs w:val="24"/>
          <w:lang w:eastAsia="it-IT"/>
        </w:rPr>
        <w:t> Second, it may be fair to acknowledge that, while the language of the Court uses terminology such as ‘established case-law’, or ‘previous decisions’, this may in fact sometimes amount to a single precedent. Certainly, that all depends on the content, context and clarity of the EU legal rule that was supposed to be established in the past decision. (</w:t>
      </w:r>
      <w:bookmarkStart w:id="303" w:name="Footref140"/>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"Footnote140"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140</w:t>
      </w:r>
      <w:r w:rsidRPr="00807A92">
        <w:rPr>
          <w:rFonts w:ascii="Times New Roman" w:eastAsia="Times New Roman" w:hAnsi="Times New Roman" w:cs="Times New Roman"/>
          <w:sz w:val="24"/>
          <w:szCs w:val="24"/>
          <w:lang w:eastAsia="it-IT"/>
        </w:rPr>
        <w:fldChar w:fldCharType="end"/>
      </w:r>
      <w:bookmarkEnd w:id="303"/>
      <w:r w:rsidRPr="00807A92">
        <w:rPr>
          <w:rFonts w:ascii="Times New Roman" w:eastAsia="Times New Roman" w:hAnsi="Times New Roman" w:cs="Times New Roman"/>
          <w:sz w:val="24"/>
          <w:szCs w:val="24"/>
          <w:lang w:eastAsia="it-IT"/>
        </w:rPr>
        <w:t xml:space="preserve">) However, a clearly articulated legal position, even if stated only once (and thus hardly amounting to genuine ‘established case-law’ in true civil law tradition, in which it would have been repeated many times before becoming effectively binding) may, from the outset, exempt a national court of last instance from making a reference. </w:t>
      </w:r>
    </w:p>
    <w:p w14:paraId="144BD7F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04" w:name="point164"/>
      <w:r w:rsidRPr="00807A92">
        <w:rPr>
          <w:rFonts w:ascii="Times New Roman" w:eastAsia="Times New Roman" w:hAnsi="Times New Roman" w:cs="Times New Roman"/>
          <w:sz w:val="24"/>
          <w:szCs w:val="24"/>
          <w:lang w:eastAsia="it-IT"/>
        </w:rPr>
        <w:t>164.</w:t>
      </w:r>
      <w:bookmarkEnd w:id="304"/>
      <w:r w:rsidRPr="00807A92">
        <w:rPr>
          <w:rFonts w:ascii="Times New Roman" w:eastAsia="Times New Roman" w:hAnsi="Times New Roman" w:cs="Times New Roman"/>
          <w:sz w:val="24"/>
          <w:szCs w:val="24"/>
          <w:lang w:eastAsia="it-IT"/>
        </w:rPr>
        <w:t> Third, a national court, and in particular a national court of last instance, is always allowed to invite the Court to adapt, refine, clarify, or even depart from its previous decisions. However, if a national court of last instance wishes to depart from the interpretation of EU law previously adopted by the Court, that national court is under an obligation to make a reference, explaining to the Court the reasons for its disagreement and, ideally, setting out what ought to be, in the view of the referring court, the proper approach. (</w:t>
      </w:r>
      <w:bookmarkStart w:id="305" w:name="Footref141"/>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"Footnote141"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141</w:t>
      </w:r>
      <w:r w:rsidRPr="00807A92">
        <w:rPr>
          <w:rFonts w:ascii="Times New Roman" w:eastAsia="Times New Roman" w:hAnsi="Times New Roman" w:cs="Times New Roman"/>
          <w:sz w:val="24"/>
          <w:szCs w:val="24"/>
          <w:lang w:eastAsia="it-IT"/>
        </w:rPr>
        <w:fldChar w:fldCharType="end"/>
      </w:r>
      <w:bookmarkEnd w:id="305"/>
      <w:r w:rsidRPr="00807A92">
        <w:rPr>
          <w:rFonts w:ascii="Times New Roman" w:eastAsia="Times New Roman" w:hAnsi="Times New Roman" w:cs="Times New Roman"/>
          <w:sz w:val="24"/>
          <w:szCs w:val="24"/>
          <w:lang w:eastAsia="it-IT"/>
        </w:rPr>
        <w:t>)</w:t>
      </w:r>
    </w:p>
    <w:p w14:paraId="3CA837B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06" w:name="point165"/>
      <w:r w:rsidRPr="00807A92">
        <w:rPr>
          <w:rFonts w:ascii="Times New Roman" w:eastAsia="Times New Roman" w:hAnsi="Times New Roman" w:cs="Times New Roman"/>
          <w:sz w:val="24"/>
          <w:szCs w:val="24"/>
          <w:lang w:eastAsia="it-IT"/>
        </w:rPr>
        <w:t>165.</w:t>
      </w:r>
      <w:bookmarkEnd w:id="306"/>
      <w:r w:rsidRPr="00807A92">
        <w:rPr>
          <w:rFonts w:ascii="Times New Roman" w:eastAsia="Times New Roman" w:hAnsi="Times New Roman" w:cs="Times New Roman"/>
          <w:sz w:val="24"/>
          <w:szCs w:val="24"/>
          <w:lang w:eastAsia="it-IT"/>
        </w:rPr>
        <w:t> For the sake of completeness, it might be added that such ‘clarification’ scenario may not only include situations in which a national court indeed wishes the Court to modify its case-law, (</w:t>
      </w:r>
      <w:bookmarkStart w:id="307" w:name="Footref142"/>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"Footnote142"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142</w:t>
      </w:r>
      <w:r w:rsidRPr="00807A92">
        <w:rPr>
          <w:rFonts w:ascii="Times New Roman" w:eastAsia="Times New Roman" w:hAnsi="Times New Roman" w:cs="Times New Roman"/>
          <w:sz w:val="24"/>
          <w:szCs w:val="24"/>
          <w:lang w:eastAsia="it-IT"/>
        </w:rPr>
        <w:fldChar w:fldCharType="end"/>
      </w:r>
      <w:bookmarkEnd w:id="307"/>
      <w:r w:rsidRPr="00807A92">
        <w:rPr>
          <w:rFonts w:ascii="Times New Roman" w:eastAsia="Times New Roman" w:hAnsi="Times New Roman" w:cs="Times New Roman"/>
          <w:sz w:val="24"/>
          <w:szCs w:val="24"/>
          <w:lang w:eastAsia="it-IT"/>
        </w:rPr>
        <w:t>) but also instances of divergence within the case-law of the Court detected by a national court called upon to apply that guidance at the national level. In such (hopefully rare) situations, there is a duty to refer, precisely in the interest of uniform interpretation of EU law across the European Union, in order to prevent divergences between national courts with some of them relying on one strand of the case-law of the Court, while others effectively apply a different one.</w:t>
      </w:r>
    </w:p>
    <w:p w14:paraId="1C6DD79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4.      </w:t>
      </w:r>
      <w:r w:rsidRPr="00807A92">
        <w:rPr>
          <w:rFonts w:ascii="Times New Roman" w:eastAsia="Times New Roman" w:hAnsi="Times New Roman" w:cs="Times New Roman"/>
          <w:b/>
          <w:bCs/>
          <w:i/>
          <w:iCs/>
          <w:sz w:val="24"/>
          <w:szCs w:val="24"/>
          <w:lang w:eastAsia="it-IT"/>
        </w:rPr>
        <w:t>The duty to state reasons (and the open question of enforcement of the duty to refer)</w:t>
      </w:r>
    </w:p>
    <w:p w14:paraId="3CF4CEF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08" w:name="point166"/>
      <w:r w:rsidRPr="00807A92">
        <w:rPr>
          <w:rFonts w:ascii="Times New Roman" w:eastAsia="Times New Roman" w:hAnsi="Times New Roman" w:cs="Times New Roman"/>
          <w:sz w:val="24"/>
          <w:szCs w:val="24"/>
          <w:lang w:eastAsia="it-IT"/>
        </w:rPr>
        <w:t>166.</w:t>
      </w:r>
      <w:bookmarkEnd w:id="308"/>
      <w:r w:rsidRPr="00807A92">
        <w:rPr>
          <w:rFonts w:ascii="Times New Roman" w:eastAsia="Times New Roman" w:hAnsi="Times New Roman" w:cs="Times New Roman"/>
          <w:sz w:val="24"/>
          <w:szCs w:val="24"/>
          <w:lang w:eastAsia="it-IT"/>
        </w:rPr>
        <w:t> In the proposal made in this Opinion, the scope of the duty to refer already contains the exceptions. They are two sides of the same coin. For there to be a duty to refer, all three conditions outlined in this section must be met. In order for the duty not to arise (or, depending on the construction, for an exception to be triggered), the presence of one of the three conditions must be negated: either there is no issue of interpretation of EU law; there is only one reasonably possible interpretation of the EU law at issue; or an answer can be found in the existing case-law of the Court.</w:t>
      </w:r>
    </w:p>
    <w:p w14:paraId="16B3BC8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09" w:name="point167"/>
      <w:r w:rsidRPr="00807A92">
        <w:rPr>
          <w:rFonts w:ascii="Times New Roman" w:eastAsia="Times New Roman" w:hAnsi="Times New Roman" w:cs="Times New Roman"/>
          <w:sz w:val="24"/>
          <w:szCs w:val="24"/>
          <w:lang w:eastAsia="it-IT"/>
        </w:rPr>
        <w:t>167.</w:t>
      </w:r>
      <w:bookmarkEnd w:id="309"/>
      <w:r w:rsidRPr="00807A92">
        <w:rPr>
          <w:rFonts w:ascii="Times New Roman" w:eastAsia="Times New Roman" w:hAnsi="Times New Roman" w:cs="Times New Roman"/>
          <w:sz w:val="24"/>
          <w:szCs w:val="24"/>
          <w:lang w:eastAsia="it-IT"/>
        </w:rPr>
        <w:t xml:space="preserve"> That being said, there is, in any case, a transversal duty, or even a fourth condition: regardless of which of the three conditions is to be invoked by the national court of last instance, that court is under an obligation to provide </w:t>
      </w:r>
      <w:r w:rsidRPr="00807A92">
        <w:rPr>
          <w:rFonts w:ascii="Times New Roman" w:eastAsia="Times New Roman" w:hAnsi="Times New Roman" w:cs="Times New Roman"/>
          <w:i/>
          <w:iCs/>
          <w:sz w:val="24"/>
          <w:szCs w:val="24"/>
          <w:lang w:eastAsia="it-IT"/>
        </w:rPr>
        <w:t>adequate reasons</w:t>
      </w:r>
      <w:r w:rsidRPr="00807A92">
        <w:rPr>
          <w:rFonts w:ascii="Times New Roman" w:eastAsia="Times New Roman" w:hAnsi="Times New Roman" w:cs="Times New Roman"/>
          <w:sz w:val="24"/>
          <w:szCs w:val="24"/>
          <w:lang w:eastAsia="it-IT"/>
        </w:rPr>
        <w:t xml:space="preserve"> for its conclusion that the case before it does not fall under the obligation to make a reference pursuant to the third paragraph of Article 267 TFEU. </w:t>
      </w:r>
    </w:p>
    <w:p w14:paraId="0854841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10" w:name="point168"/>
      <w:r w:rsidRPr="00807A92">
        <w:rPr>
          <w:rFonts w:ascii="Times New Roman" w:eastAsia="Times New Roman" w:hAnsi="Times New Roman" w:cs="Times New Roman"/>
          <w:sz w:val="24"/>
          <w:szCs w:val="24"/>
          <w:lang w:eastAsia="it-IT"/>
        </w:rPr>
        <w:t>168.</w:t>
      </w:r>
      <w:bookmarkEnd w:id="310"/>
      <w:r w:rsidRPr="00807A92">
        <w:rPr>
          <w:rFonts w:ascii="Times New Roman" w:eastAsia="Times New Roman" w:hAnsi="Times New Roman" w:cs="Times New Roman"/>
          <w:sz w:val="24"/>
          <w:szCs w:val="24"/>
          <w:lang w:eastAsia="it-IT"/>
        </w:rPr>
        <w:t xml:space="preserve"> Naturally, there is no universal yardstick as to what is an adequate and thus sufficient statement of reasons. It all depends on the nature of the case, its complexity, and above all the arguments brought before the deciding court and those contained in the case file. However, and in any event, provided that a relevant point of EU law has indeed been raised before a national court of last instance, that court is under an obligation to state clearly and specifically which of the three conditions (exceptions) is supposed to apply to that case and to provide at least a summary explanation as to why that is the case. </w:t>
      </w:r>
    </w:p>
    <w:p w14:paraId="2D5C92F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11" w:name="point169"/>
      <w:r w:rsidRPr="00807A92">
        <w:rPr>
          <w:rFonts w:ascii="Times New Roman" w:eastAsia="Times New Roman" w:hAnsi="Times New Roman" w:cs="Times New Roman"/>
          <w:sz w:val="24"/>
          <w:szCs w:val="24"/>
          <w:lang w:eastAsia="it-IT"/>
        </w:rPr>
        <w:lastRenderedPageBreak/>
        <w:t>169.</w:t>
      </w:r>
      <w:bookmarkEnd w:id="311"/>
      <w:r w:rsidRPr="00807A92">
        <w:rPr>
          <w:rFonts w:ascii="Times New Roman" w:eastAsia="Times New Roman" w:hAnsi="Times New Roman" w:cs="Times New Roman"/>
          <w:sz w:val="24"/>
          <w:szCs w:val="24"/>
          <w:lang w:eastAsia="it-IT"/>
        </w:rPr>
        <w:t> I believe that it is important to emphasise this obligation clearly. A general, vague, and largely unsubstantiated reference to ‘</w:t>
      </w:r>
      <w:r w:rsidRPr="00807A92">
        <w:rPr>
          <w:rFonts w:ascii="Times New Roman" w:eastAsia="Times New Roman" w:hAnsi="Times New Roman" w:cs="Times New Roman"/>
          <w:i/>
          <w:iCs/>
          <w:sz w:val="24"/>
          <w:szCs w:val="24"/>
          <w:lang w:eastAsia="it-IT"/>
        </w:rPr>
        <w:t>acte clair</w:t>
      </w:r>
      <w:r w:rsidRPr="00807A92">
        <w:rPr>
          <w:rFonts w:ascii="Times New Roman" w:eastAsia="Times New Roman" w:hAnsi="Times New Roman" w:cs="Times New Roman"/>
          <w:sz w:val="24"/>
          <w:szCs w:val="24"/>
          <w:lang w:eastAsia="it-IT"/>
        </w:rPr>
        <w:t xml:space="preserve">’ or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without any real and case-specific reasoning being provided as to why exactly there is no duty to refer on the merits of the case in question, does not meet that minimal requirement. (</w:t>
      </w:r>
      <w:bookmarkStart w:id="312" w:name="Footref143"/>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"Footnote143"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143</w:t>
      </w:r>
      <w:r w:rsidRPr="00807A92">
        <w:rPr>
          <w:rFonts w:ascii="Times New Roman" w:eastAsia="Times New Roman" w:hAnsi="Times New Roman" w:cs="Times New Roman"/>
          <w:sz w:val="24"/>
          <w:szCs w:val="24"/>
          <w:lang w:eastAsia="it-IT"/>
        </w:rPr>
        <w:fldChar w:fldCharType="end"/>
      </w:r>
      <w:bookmarkEnd w:id="312"/>
      <w:r w:rsidRPr="00807A92">
        <w:rPr>
          <w:rFonts w:ascii="Times New Roman" w:eastAsia="Times New Roman" w:hAnsi="Times New Roman" w:cs="Times New Roman"/>
          <w:sz w:val="24"/>
          <w:szCs w:val="24"/>
          <w:lang w:eastAsia="it-IT"/>
        </w:rPr>
        <w:t>) By contrast, in the admittedly rather objective and external approach to the duty to refer in the interest of the systemic uniformity in interpretation advocated in this Opinion, the reasoning to be provided by the national court of last instance is a reaction to the elements brought to the attention of that court, either by the parties, or because they clearly emanate from the proceedings and case file itself. The duty to state reasons thus naturally correlates with the duty of a judge to react to all the relevant circumstances and arguments brought before him or her.</w:t>
      </w:r>
    </w:p>
    <w:p w14:paraId="537FE0E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13" w:name="point170"/>
      <w:r w:rsidRPr="00807A92">
        <w:rPr>
          <w:rFonts w:ascii="Times New Roman" w:eastAsia="Times New Roman" w:hAnsi="Times New Roman" w:cs="Times New Roman"/>
          <w:sz w:val="24"/>
          <w:szCs w:val="24"/>
          <w:lang w:eastAsia="it-IT"/>
        </w:rPr>
        <w:t>170.</w:t>
      </w:r>
      <w:bookmarkEnd w:id="313"/>
      <w:r w:rsidRPr="00807A92">
        <w:rPr>
          <w:rFonts w:ascii="Times New Roman" w:eastAsia="Times New Roman" w:hAnsi="Times New Roman" w:cs="Times New Roman"/>
          <w:sz w:val="24"/>
          <w:szCs w:val="24"/>
          <w:lang w:eastAsia="it-IT"/>
        </w:rPr>
        <w:t xml:space="preserve"> Put simply, a judge is not obliged to go out and search for interpretative problems which may possibly arise with respect to a particular EU law provision. However, the interpretative problems brought before him or her, in particular those invoked by the parties, cannot be ‘swept under the carpet’ without proper reasoning, by simply stating in one sentence that ‘all is clear and beyond reasonable doubt’. </w:t>
      </w:r>
    </w:p>
    <w:p w14:paraId="6BE4EF5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14" w:name="point171"/>
      <w:r w:rsidRPr="00807A92">
        <w:rPr>
          <w:rFonts w:ascii="Times New Roman" w:eastAsia="Times New Roman" w:hAnsi="Times New Roman" w:cs="Times New Roman"/>
          <w:sz w:val="24"/>
          <w:szCs w:val="24"/>
          <w:lang w:eastAsia="it-IT"/>
        </w:rPr>
        <w:t>171.</w:t>
      </w:r>
      <w:bookmarkEnd w:id="314"/>
      <w:r w:rsidRPr="00807A92">
        <w:rPr>
          <w:rFonts w:ascii="Times New Roman" w:eastAsia="Times New Roman" w:hAnsi="Times New Roman" w:cs="Times New Roman"/>
          <w:sz w:val="24"/>
          <w:szCs w:val="24"/>
          <w:lang w:eastAsia="it-IT"/>
        </w:rPr>
        <w:t xml:space="preserve"> Finally, in my view, the duty to state adequate reasons, although it is likely to already flow from relevant national rules, is also an obligation imposed by EU law under Article 47 of the Charter. It is rather logical that if a point of EU law is validly raised during national judicial proceedings, then that case is likely to be, in so far as concerns the applicability of other elements of EU law, within the scope of EU law. There is, moreover, Article 267 TFEU itself, which would be applicable in such a case. Therefore, such a case, and any national decision taken in relation to it, are clearly an instance of implementation of EU law under Article 51(1) of the Charter. </w:t>
      </w:r>
    </w:p>
    <w:p w14:paraId="48BDBCA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15" w:name="point172"/>
      <w:r w:rsidRPr="00807A92">
        <w:rPr>
          <w:rFonts w:ascii="Times New Roman" w:eastAsia="Times New Roman" w:hAnsi="Times New Roman" w:cs="Times New Roman"/>
          <w:sz w:val="24"/>
          <w:szCs w:val="24"/>
          <w:lang w:eastAsia="it-IT"/>
        </w:rPr>
        <w:t>172.</w:t>
      </w:r>
      <w:bookmarkEnd w:id="315"/>
      <w:r w:rsidRPr="00807A92">
        <w:rPr>
          <w:rFonts w:ascii="Times New Roman" w:eastAsia="Times New Roman" w:hAnsi="Times New Roman" w:cs="Times New Roman"/>
          <w:sz w:val="24"/>
          <w:szCs w:val="24"/>
          <w:lang w:eastAsia="it-IT"/>
        </w:rPr>
        <w:t xml:space="preserve"> I shall deliberately leave it there. Issues relating to the enforcement of the duty to refer are perhaps a matter for future cases. However, before such matters are capable of being discussed in the future, the scope and the nature of the duty to refer must first be considerably revisited. Only if and when that first step is undertaken, it may become relevant to discuss the subsequent matter of remedies. </w:t>
      </w:r>
    </w:p>
    <w:p w14:paraId="31FA745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16" w:name="point173"/>
      <w:r w:rsidRPr="00807A92">
        <w:rPr>
          <w:rFonts w:ascii="Times New Roman" w:eastAsia="Times New Roman" w:hAnsi="Times New Roman" w:cs="Times New Roman"/>
          <w:sz w:val="24"/>
          <w:szCs w:val="24"/>
          <w:lang w:eastAsia="it-IT"/>
        </w:rPr>
        <w:t>173.</w:t>
      </w:r>
      <w:bookmarkEnd w:id="316"/>
      <w:r w:rsidRPr="00807A92">
        <w:rPr>
          <w:rFonts w:ascii="Times New Roman" w:eastAsia="Times New Roman" w:hAnsi="Times New Roman" w:cs="Times New Roman"/>
          <w:sz w:val="24"/>
          <w:szCs w:val="24"/>
          <w:lang w:eastAsia="it-IT"/>
        </w:rPr>
        <w:t xml:space="preserve"> I conclude with three general remarks. </w:t>
      </w:r>
    </w:p>
    <w:p w14:paraId="704DC6C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17" w:name="point174"/>
      <w:r w:rsidRPr="00807A92">
        <w:rPr>
          <w:rFonts w:ascii="Times New Roman" w:eastAsia="Times New Roman" w:hAnsi="Times New Roman" w:cs="Times New Roman"/>
          <w:sz w:val="24"/>
          <w:szCs w:val="24"/>
          <w:lang w:eastAsia="it-IT"/>
        </w:rPr>
        <w:t>174.</w:t>
      </w:r>
      <w:bookmarkEnd w:id="317"/>
      <w:r w:rsidRPr="00807A92">
        <w:rPr>
          <w:rFonts w:ascii="Times New Roman" w:eastAsia="Times New Roman" w:hAnsi="Times New Roman" w:cs="Times New Roman"/>
          <w:sz w:val="24"/>
          <w:szCs w:val="24"/>
          <w:lang w:eastAsia="it-IT"/>
        </w:rPr>
        <w:t xml:space="preserve"> First, why is it necessary to revisit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 xml:space="preserve">file now? Indeed, having read the compelling Opinions of all my learned predecessors quoted throughout this Opinion, it is clear that the Court is not likely to reopen that file lightly. Moreover, with tongue in cheek, it could be suggested that, since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has not worked for 40 years, a few more years or decades will make no difference. There is also a certain beautiful simplicity and wisdom in inertia, particularly once the system, as a whole, finds some sort of equilibrium. Indeed, returning to the metaphor used in the introduction to this Opinion, it may be wiser to let sleeping dogs lie. If they should wake, no one knows whom they may bite.</w:t>
      </w:r>
    </w:p>
    <w:p w14:paraId="72CFC1B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18" w:name="point175"/>
      <w:r w:rsidRPr="00807A92">
        <w:rPr>
          <w:rFonts w:ascii="Times New Roman" w:eastAsia="Times New Roman" w:hAnsi="Times New Roman" w:cs="Times New Roman"/>
          <w:sz w:val="24"/>
          <w:szCs w:val="24"/>
          <w:lang w:eastAsia="it-IT"/>
        </w:rPr>
        <w:t>175.</w:t>
      </w:r>
      <w:bookmarkEnd w:id="318"/>
      <w:r w:rsidRPr="00807A92">
        <w:rPr>
          <w:rFonts w:ascii="Times New Roman" w:eastAsia="Times New Roman" w:hAnsi="Times New Roman" w:cs="Times New Roman"/>
          <w:sz w:val="24"/>
          <w:szCs w:val="24"/>
          <w:lang w:eastAsia="it-IT"/>
        </w:rPr>
        <w:t xml:space="preserve"> Appealing as such thinking may be, it has its clear limits. It is not healthy for the institutional authority and legitimacy of any court to be considered irrelevant, as the guidance coming from the centre is being disregarded, and for good reason. In addition, if such a lack of relevance touches upon one of the crucial parameters of the entire judicial system, for the proper working of which and for at least some of its enforcement, that system must rely on others, a rather unhealthy rule scepticism may come into being and eventually spread to other areas and other issues. Finally, tensions are likely to emerge if such a careful equilibrium is thrown off balance by a sudden burst of selective enforcement of such rules, in which those subject to such an enforcement might correctly </w:t>
      </w:r>
      <w:r w:rsidRPr="00807A92">
        <w:rPr>
          <w:rFonts w:ascii="Times New Roman" w:eastAsia="Times New Roman" w:hAnsi="Times New Roman" w:cs="Times New Roman"/>
          <w:sz w:val="24"/>
          <w:szCs w:val="24"/>
          <w:lang w:eastAsia="it-IT"/>
        </w:rPr>
        <w:lastRenderedPageBreak/>
        <w:t xml:space="preserve">ask: why us? In this way, with the dogs now awake, it becomes imperative to revisit the rules so that they may be enforced equally against everyone. </w:t>
      </w:r>
    </w:p>
    <w:p w14:paraId="274697D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19" w:name="point176"/>
      <w:r w:rsidRPr="00807A92">
        <w:rPr>
          <w:rFonts w:ascii="Times New Roman" w:eastAsia="Times New Roman" w:hAnsi="Times New Roman" w:cs="Times New Roman"/>
          <w:sz w:val="24"/>
          <w:szCs w:val="24"/>
          <w:lang w:eastAsia="it-IT"/>
        </w:rPr>
        <w:t>176.</w:t>
      </w:r>
      <w:bookmarkEnd w:id="319"/>
      <w:r w:rsidRPr="00807A92">
        <w:rPr>
          <w:rFonts w:ascii="Times New Roman" w:eastAsia="Times New Roman" w:hAnsi="Times New Roman" w:cs="Times New Roman"/>
          <w:sz w:val="24"/>
          <w:szCs w:val="24"/>
          <w:lang w:eastAsia="it-IT"/>
        </w:rPr>
        <w:t xml:space="preserve"> Second, it may be suggested that by focusing on the macro or public function of the duty to refer, the proposal made in this Opinion neglects the individual litigants and their subjective rights. Moreover, when separated from subjective doubts in the individual case, the definition of the scope of the duty to refer and the exceptions to that duty become vague in their articulation, relying on abstract concepts such as divergence in interpretation. </w:t>
      </w:r>
    </w:p>
    <w:p w14:paraId="5A3AF1C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20" w:name="point177"/>
      <w:r w:rsidRPr="00807A92">
        <w:rPr>
          <w:rFonts w:ascii="Times New Roman" w:eastAsia="Times New Roman" w:hAnsi="Times New Roman" w:cs="Times New Roman"/>
          <w:sz w:val="24"/>
          <w:szCs w:val="24"/>
          <w:lang w:eastAsia="it-IT"/>
        </w:rPr>
        <w:t>177.</w:t>
      </w:r>
      <w:bookmarkEnd w:id="320"/>
      <w:r w:rsidRPr="00807A92">
        <w:rPr>
          <w:rFonts w:ascii="Times New Roman" w:eastAsia="Times New Roman" w:hAnsi="Times New Roman" w:cs="Times New Roman"/>
          <w:sz w:val="24"/>
          <w:szCs w:val="24"/>
          <w:lang w:eastAsia="it-IT"/>
        </w:rPr>
        <w:t xml:space="preserve"> In my view, it was precisely the lack of clarity in conceptually distinguishing between the macro/micro (public/private) function and objective/subjective conditions of the duty to refer that account for the problems of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Moreover, the choice made in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was unique in yet another way: the duty to refer was made subject primarily to individual and subjective conditions of the specific case pending before a court of last instance without, however, the individuals being given any rights whatsoever to enforce that duty.</w:t>
      </w:r>
    </w:p>
    <w:p w14:paraId="225A831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21" w:name="point178"/>
      <w:r w:rsidRPr="00807A92">
        <w:rPr>
          <w:rFonts w:ascii="Times New Roman" w:eastAsia="Times New Roman" w:hAnsi="Times New Roman" w:cs="Times New Roman"/>
          <w:sz w:val="24"/>
          <w:szCs w:val="24"/>
          <w:lang w:eastAsia="it-IT"/>
        </w:rPr>
        <w:t>178.</w:t>
      </w:r>
      <w:bookmarkEnd w:id="321"/>
      <w:r w:rsidRPr="00807A92">
        <w:rPr>
          <w:rFonts w:ascii="Times New Roman" w:eastAsia="Times New Roman" w:hAnsi="Times New Roman" w:cs="Times New Roman"/>
          <w:sz w:val="24"/>
          <w:szCs w:val="24"/>
          <w:lang w:eastAsia="it-IT"/>
        </w:rPr>
        <w:t xml:space="preserve"> If, as proposed here, the predominantly systemic and structural nature of the duty to refer were acknowledged, which would then be based on more objective considerations of the systemic needs arising in the individual case, that could possibly all provide individual litigants with much more on which to base arguments in an individual case than subjective judicial doubts. Moreover, while in part detached from the circumstances of an individual case, the conditions suggested here are, as to their nature and articulation, in fact much more precise than those present in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In addition, in contrast to the ongoing and endless discussions of whether the exceptions in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do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 xml:space="preserve">in fact amount to a checklist or simply to a tool kit, the conditions proposed here clearly form a checklist, with confirmation of the correlating duty to specifically and adequately state reasons. </w:t>
      </w:r>
    </w:p>
    <w:p w14:paraId="0563BF6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22" w:name="point179"/>
      <w:r w:rsidRPr="00807A92">
        <w:rPr>
          <w:rFonts w:ascii="Times New Roman" w:eastAsia="Times New Roman" w:hAnsi="Times New Roman" w:cs="Times New Roman"/>
          <w:sz w:val="24"/>
          <w:szCs w:val="24"/>
          <w:lang w:eastAsia="it-IT"/>
        </w:rPr>
        <w:t>179.</w:t>
      </w:r>
      <w:bookmarkEnd w:id="322"/>
      <w:r w:rsidRPr="00807A92">
        <w:rPr>
          <w:rFonts w:ascii="Times New Roman" w:eastAsia="Times New Roman" w:hAnsi="Times New Roman" w:cs="Times New Roman"/>
          <w:sz w:val="24"/>
          <w:szCs w:val="24"/>
          <w:lang w:eastAsia="it-IT"/>
        </w:rPr>
        <w:t xml:space="preserve"> Third and final, would such a ‘loosening’ of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no longer focusing on the correct application of EU law in every case before a last-instance court, not amount to the abdication of the key responsibility of the Court in terms of ensuring unity and uniformity of EU law? </w:t>
      </w:r>
    </w:p>
    <w:p w14:paraId="5EB1C4A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23" w:name="point180"/>
      <w:r w:rsidRPr="00807A92">
        <w:rPr>
          <w:rFonts w:ascii="Times New Roman" w:eastAsia="Times New Roman" w:hAnsi="Times New Roman" w:cs="Times New Roman"/>
          <w:sz w:val="24"/>
          <w:szCs w:val="24"/>
          <w:lang w:eastAsia="it-IT"/>
        </w:rPr>
        <w:t>180.</w:t>
      </w:r>
      <w:bookmarkEnd w:id="323"/>
      <w:r w:rsidRPr="00807A92">
        <w:rPr>
          <w:rFonts w:ascii="Times New Roman" w:eastAsia="Times New Roman" w:hAnsi="Times New Roman" w:cs="Times New Roman"/>
          <w:sz w:val="24"/>
          <w:szCs w:val="24"/>
          <w:lang w:eastAsia="it-IT"/>
        </w:rPr>
        <w:t xml:space="preserve"> I have taken quite some space in this Opinion to try to explain why I believe that the </w:t>
      </w:r>
      <w:r w:rsidRPr="00807A92">
        <w:rPr>
          <w:rFonts w:ascii="Times New Roman" w:eastAsia="Times New Roman" w:hAnsi="Times New Roman" w:cs="Times New Roman"/>
          <w:i/>
          <w:iCs/>
          <w:sz w:val="24"/>
          <w:szCs w:val="24"/>
          <w:lang w:eastAsia="it-IT"/>
        </w:rPr>
        <w:t xml:space="preserve">CILFIT </w:t>
      </w:r>
      <w:r w:rsidRPr="00807A92">
        <w:rPr>
          <w:rFonts w:ascii="Times New Roman" w:eastAsia="Times New Roman" w:hAnsi="Times New Roman" w:cs="Times New Roman"/>
          <w:sz w:val="24"/>
          <w:szCs w:val="24"/>
          <w:lang w:eastAsia="it-IT"/>
        </w:rPr>
        <w:t>uniformity with regard to the correct application of EU law in each individual case is a myth. In view of the decentralised and diffused nature of the EU judicial system, the best that can ever be achieved is a reasonable uniformity in the interpretation of EU law, with that type of uniformity already being a rather tall order. As to the uniformity in application and outcomes, the answer is rather simple: ‘no man can lose what he never had’. (</w:t>
      </w:r>
      <w:bookmarkStart w:id="324" w:name="Footref144"/>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"Footnote144"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144</w:t>
      </w:r>
      <w:r w:rsidRPr="00807A92">
        <w:rPr>
          <w:rFonts w:ascii="Times New Roman" w:eastAsia="Times New Roman" w:hAnsi="Times New Roman" w:cs="Times New Roman"/>
          <w:sz w:val="24"/>
          <w:szCs w:val="24"/>
          <w:lang w:eastAsia="it-IT"/>
        </w:rPr>
        <w:fldChar w:fldCharType="end"/>
      </w:r>
      <w:bookmarkEnd w:id="324"/>
      <w:r w:rsidRPr="00807A92">
        <w:rPr>
          <w:rFonts w:ascii="Times New Roman" w:eastAsia="Times New Roman" w:hAnsi="Times New Roman" w:cs="Times New Roman"/>
          <w:sz w:val="24"/>
          <w:szCs w:val="24"/>
          <w:lang w:eastAsia="it-IT"/>
        </w:rPr>
        <w:t>)</w:t>
      </w:r>
    </w:p>
    <w:p w14:paraId="64D2216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V.      </w:t>
      </w:r>
      <w:r w:rsidRPr="00807A92">
        <w:rPr>
          <w:rFonts w:ascii="Times New Roman" w:eastAsia="Times New Roman" w:hAnsi="Times New Roman" w:cs="Times New Roman"/>
          <w:b/>
          <w:bCs/>
          <w:sz w:val="24"/>
          <w:szCs w:val="24"/>
          <w:lang w:eastAsia="it-IT"/>
        </w:rPr>
        <w:t>Conclusion</w:t>
      </w:r>
    </w:p>
    <w:p w14:paraId="6C57FAA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bookmarkStart w:id="325" w:name="point181"/>
      <w:r w:rsidRPr="00807A92">
        <w:rPr>
          <w:rFonts w:ascii="Times New Roman" w:eastAsia="Times New Roman" w:hAnsi="Times New Roman" w:cs="Times New Roman"/>
          <w:sz w:val="24"/>
          <w:szCs w:val="24"/>
          <w:lang w:eastAsia="it-IT"/>
        </w:rPr>
        <w:t>181.</w:t>
      </w:r>
      <w:bookmarkEnd w:id="325"/>
      <w:r w:rsidRPr="00807A92">
        <w:rPr>
          <w:rFonts w:ascii="Times New Roman" w:eastAsia="Times New Roman" w:hAnsi="Times New Roman" w:cs="Times New Roman"/>
          <w:sz w:val="24"/>
          <w:szCs w:val="24"/>
          <w:lang w:eastAsia="it-IT"/>
        </w:rPr>
        <w:t> I recommend that the Court answer the first question referred to it by the Consiglio di Stato (Council of State, Italy) as follows:</w:t>
      </w:r>
    </w:p>
    <w:p w14:paraId="0637C62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t xml:space="preserve">Under the third paragraph of Article 267 TFEU, a court or a tribunal of a Member State against whose decisions there is no judicial remedy under national law is to refer the case to the Court of Justice, provided that, first, that case raises a general issue of interpretation of EU law, which may, second, be reasonably interpreted in more than one possible way and, third, the way in which the EU law at issue is to be interpreted cannot be inferred from the existing case-law of the Court of Justice. Should such a national court or tribunal, before which an issue of interpretation of EU law has been raised, decide not to submit a request for a preliminary ruling pursuant to that provision, it is obliged to state adequate reasons to explain which of the three conditions is not met and why. </w:t>
      </w:r>
    </w:p>
    <w:p w14:paraId="24B91518"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pict w14:anchorId="262DF9F5">
          <v:rect id="_x0000_i89944" style="width:0;height:1.5pt" o:hralign="center" o:hrstd="t" o:hr="t" fillcolor="#a0a0a0" stroked="f"/>
        </w:pict>
      </w:r>
    </w:p>
    <w:bookmarkStart w:id="326" w:name="Footnote1"/>
    <w:p w14:paraId="6B6AEE2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w:t>
      </w:r>
      <w:r w:rsidRPr="00807A92">
        <w:rPr>
          <w:rFonts w:ascii="Times New Roman" w:eastAsia="Times New Roman" w:hAnsi="Times New Roman" w:cs="Times New Roman"/>
          <w:sz w:val="24"/>
          <w:szCs w:val="24"/>
          <w:lang w:eastAsia="it-IT"/>
        </w:rPr>
        <w:fldChar w:fldCharType="end"/>
      </w:r>
      <w:bookmarkEnd w:id="326"/>
      <w:r w:rsidRPr="00807A92">
        <w:rPr>
          <w:rFonts w:ascii="Times New Roman" w:eastAsia="Times New Roman" w:hAnsi="Times New Roman" w:cs="Times New Roman"/>
          <w:sz w:val="24"/>
          <w:szCs w:val="24"/>
          <w:lang w:eastAsia="it-IT"/>
        </w:rPr>
        <w:t>      Original language: English.</w:t>
      </w:r>
    </w:p>
    <w:p w14:paraId="003FC729"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CDAFC07">
          <v:rect id="_x0000_i89945" style="width:0;height:1.5pt" o:hralign="center" o:hrstd="t" o:hr="t" fillcolor="#a0a0a0" stroked="f"/>
        </w:pict>
      </w:r>
    </w:p>
    <w:bookmarkStart w:id="327" w:name="Footnote2"/>
    <w:p w14:paraId="29C813C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w:t>
      </w:r>
      <w:r w:rsidRPr="00807A92">
        <w:rPr>
          <w:rFonts w:ascii="Times New Roman" w:eastAsia="Times New Roman" w:hAnsi="Times New Roman" w:cs="Times New Roman"/>
          <w:sz w:val="24"/>
          <w:szCs w:val="24"/>
          <w:lang w:eastAsia="it-IT"/>
        </w:rPr>
        <w:fldChar w:fldCharType="end"/>
      </w:r>
      <w:bookmarkEnd w:id="327"/>
      <w:r w:rsidRPr="00807A92">
        <w:rPr>
          <w:rFonts w:ascii="Times New Roman" w:eastAsia="Times New Roman" w:hAnsi="Times New Roman" w:cs="Times New Roman"/>
          <w:sz w:val="24"/>
          <w:szCs w:val="24"/>
          <w:lang w:eastAsia="it-IT"/>
        </w:rPr>
        <w:t>      Judgment of 6 October 1982 (283/81, EU:C:1982:335)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w:t>
      </w:r>
    </w:p>
    <w:p w14:paraId="7BABE015"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8037216">
          <v:rect id="_x0000_i89946" style="width:0;height:1.5pt" o:hralign="center" o:hrstd="t" o:hr="t" fillcolor="#a0a0a0" stroked="f"/>
        </w:pict>
      </w:r>
    </w:p>
    <w:bookmarkStart w:id="328" w:name="Footnote3"/>
    <w:p w14:paraId="0BC07A9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w:t>
      </w:r>
      <w:r w:rsidRPr="00807A92">
        <w:rPr>
          <w:rFonts w:ascii="Times New Roman" w:eastAsia="Times New Roman" w:hAnsi="Times New Roman" w:cs="Times New Roman"/>
          <w:sz w:val="24"/>
          <w:szCs w:val="24"/>
          <w:lang w:eastAsia="it-IT"/>
        </w:rPr>
        <w:fldChar w:fldCharType="end"/>
      </w:r>
      <w:bookmarkEnd w:id="328"/>
      <w:r w:rsidRPr="00807A92">
        <w:rPr>
          <w:rFonts w:ascii="Times New Roman" w:eastAsia="Times New Roman" w:hAnsi="Times New Roman" w:cs="Times New Roman"/>
          <w:sz w:val="24"/>
          <w:szCs w:val="24"/>
          <w:lang w:eastAsia="it-IT"/>
        </w:rPr>
        <w:t>      Directive of the European Parliament and of the Council of 31 March 2004 coordinating the procurement procedures of entities operating in the water, energy, transport and postal services sectors (OJ 2004 L 134, p. 1).</w:t>
      </w:r>
    </w:p>
    <w:p w14:paraId="722BE186"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73C6BCB">
          <v:rect id="_x0000_i89947" style="width:0;height:1.5pt" o:hralign="center" o:hrstd="t" o:hr="t" fillcolor="#a0a0a0" stroked="f"/>
        </w:pict>
      </w:r>
    </w:p>
    <w:bookmarkStart w:id="329" w:name="Footnote4"/>
    <w:p w14:paraId="1877B66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w:t>
      </w:r>
      <w:r w:rsidRPr="00807A92">
        <w:rPr>
          <w:rFonts w:ascii="Times New Roman" w:eastAsia="Times New Roman" w:hAnsi="Times New Roman" w:cs="Times New Roman"/>
          <w:sz w:val="24"/>
          <w:szCs w:val="24"/>
          <w:lang w:eastAsia="it-IT"/>
        </w:rPr>
        <w:fldChar w:fldCharType="end"/>
      </w:r>
      <w:bookmarkEnd w:id="329"/>
      <w:r w:rsidRPr="00807A92">
        <w:rPr>
          <w:rFonts w:ascii="Times New Roman" w:eastAsia="Times New Roman" w:hAnsi="Times New Roman" w:cs="Times New Roman"/>
          <w:sz w:val="24"/>
          <w:szCs w:val="24"/>
          <w:lang w:eastAsia="it-IT"/>
        </w:rPr>
        <w:t>      Judgment in Consorzio Italian Management and Catania Multiservizi (C</w:t>
      </w:r>
      <w:r w:rsidRPr="00807A92">
        <w:rPr>
          <w:rFonts w:ascii="Times New Roman" w:eastAsia="Times New Roman" w:hAnsi="Times New Roman" w:cs="Times New Roman"/>
          <w:sz w:val="24"/>
          <w:szCs w:val="24"/>
          <w:lang w:eastAsia="it-IT"/>
        </w:rPr>
        <w:noBreakHyphen/>
        <w:t>152/17, EU:C:2018:264).</w:t>
      </w:r>
    </w:p>
    <w:p w14:paraId="439CAC3C"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4000E42">
          <v:rect id="_x0000_i89948" style="width:0;height:1.5pt" o:hralign="center" o:hrstd="t" o:hr="t" fillcolor="#a0a0a0" stroked="f"/>
        </w:pict>
      </w:r>
    </w:p>
    <w:bookmarkStart w:id="330" w:name="Footnote5"/>
    <w:p w14:paraId="6C88637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w:t>
      </w:r>
      <w:r w:rsidRPr="00807A92">
        <w:rPr>
          <w:rFonts w:ascii="Times New Roman" w:eastAsia="Times New Roman" w:hAnsi="Times New Roman" w:cs="Times New Roman"/>
          <w:sz w:val="24"/>
          <w:szCs w:val="24"/>
          <w:lang w:eastAsia="it-IT"/>
        </w:rPr>
        <w:fldChar w:fldCharType="end"/>
      </w:r>
      <w:bookmarkEnd w:id="330"/>
      <w:r w:rsidRPr="00807A92">
        <w:rPr>
          <w:rFonts w:ascii="Times New Roman" w:eastAsia="Times New Roman" w:hAnsi="Times New Roman" w:cs="Times New Roman"/>
          <w:sz w:val="24"/>
          <w:szCs w:val="24"/>
          <w:lang w:eastAsia="it-IT"/>
        </w:rPr>
        <w:t>      Ibid., paragraphs 33 to 35.</w:t>
      </w:r>
    </w:p>
    <w:p w14:paraId="475BEA99"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12FC6B5">
          <v:rect id="_x0000_i89949" style="width:0;height:1.5pt" o:hralign="center" o:hrstd="t" o:hr="t" fillcolor="#a0a0a0" stroked="f"/>
        </w:pict>
      </w:r>
    </w:p>
    <w:bookmarkStart w:id="331" w:name="Footnote6"/>
    <w:p w14:paraId="2C43D5D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w:t>
      </w:r>
      <w:r w:rsidRPr="00807A92">
        <w:rPr>
          <w:rFonts w:ascii="Times New Roman" w:eastAsia="Times New Roman" w:hAnsi="Times New Roman" w:cs="Times New Roman"/>
          <w:sz w:val="24"/>
          <w:szCs w:val="24"/>
          <w:lang w:eastAsia="it-IT"/>
        </w:rPr>
        <w:fldChar w:fldCharType="end"/>
      </w:r>
      <w:bookmarkEnd w:id="331"/>
      <w:r w:rsidRPr="00807A92">
        <w:rPr>
          <w:rFonts w:ascii="Times New Roman" w:eastAsia="Times New Roman" w:hAnsi="Times New Roman" w:cs="Times New Roman"/>
          <w:sz w:val="24"/>
          <w:szCs w:val="24"/>
          <w:lang w:eastAsia="it-IT"/>
        </w:rPr>
        <w:t>      Invoking established case-law of the Court in this regard, in particular the judgment of 18 July 2013, Consiglio Nazionale dei Geologi (C</w:t>
      </w:r>
      <w:r w:rsidRPr="00807A92">
        <w:rPr>
          <w:rFonts w:ascii="Times New Roman" w:eastAsia="Times New Roman" w:hAnsi="Times New Roman" w:cs="Times New Roman"/>
          <w:sz w:val="24"/>
          <w:szCs w:val="24"/>
          <w:lang w:eastAsia="it-IT"/>
        </w:rPr>
        <w:noBreakHyphen/>
        <w:t xml:space="preserve">136/12, EU:C:2013:489, paragraph 25). </w:t>
      </w:r>
    </w:p>
    <w:p w14:paraId="41703070"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20E6C13B">
          <v:rect id="_x0000_i89950" style="width:0;height:1.5pt" o:hralign="center" o:hrstd="t" o:hr="t" fillcolor="#a0a0a0" stroked="f"/>
        </w:pict>
      </w:r>
    </w:p>
    <w:bookmarkStart w:id="332" w:name="Footnote7"/>
    <w:p w14:paraId="07FF188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w:t>
      </w:r>
      <w:r w:rsidRPr="00807A92">
        <w:rPr>
          <w:rFonts w:ascii="Times New Roman" w:eastAsia="Times New Roman" w:hAnsi="Times New Roman" w:cs="Times New Roman"/>
          <w:sz w:val="24"/>
          <w:szCs w:val="24"/>
          <w:lang w:eastAsia="it-IT"/>
        </w:rPr>
        <w:fldChar w:fldCharType="end"/>
      </w:r>
      <w:bookmarkEnd w:id="332"/>
      <w:r w:rsidRPr="00807A92">
        <w:rPr>
          <w:rFonts w:ascii="Times New Roman" w:eastAsia="Times New Roman" w:hAnsi="Times New Roman" w:cs="Times New Roman"/>
          <w:sz w:val="24"/>
          <w:szCs w:val="24"/>
          <w:lang w:eastAsia="it-IT"/>
        </w:rPr>
        <w:t xml:space="preserve">      See, for example, judgments of 12 February 2008, </w:t>
      </w:r>
      <w:r w:rsidRPr="00807A92">
        <w:rPr>
          <w:rFonts w:ascii="Times New Roman" w:eastAsia="Times New Roman" w:hAnsi="Times New Roman" w:cs="Times New Roman"/>
          <w:i/>
          <w:iCs/>
          <w:sz w:val="24"/>
          <w:szCs w:val="24"/>
          <w:lang w:eastAsia="it-IT"/>
        </w:rPr>
        <w:t>Kempter</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2/06, EU:C:2008:78, paragraph 41); of 9 November 2010, VB Pénzügyi Lízing (C</w:t>
      </w:r>
      <w:r w:rsidRPr="00807A92">
        <w:rPr>
          <w:rFonts w:ascii="Times New Roman" w:eastAsia="Times New Roman" w:hAnsi="Times New Roman" w:cs="Times New Roman"/>
          <w:sz w:val="24"/>
          <w:szCs w:val="24"/>
          <w:lang w:eastAsia="it-IT"/>
        </w:rPr>
        <w:noBreakHyphen/>
        <w:t>137/08, EU:C:2010:659, paragraph 28); and of 18 July 2013, Consiglio Nazionale dei Geologi</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136/12, EU:C:2013:489, paragraph 28).</w:t>
      </w:r>
    </w:p>
    <w:p w14:paraId="605C8C5E"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F8FC61B">
          <v:rect id="_x0000_i89951" style="width:0;height:1.5pt" o:hralign="center" o:hrstd="t" o:hr="t" fillcolor="#a0a0a0" stroked="f"/>
        </w:pict>
      </w:r>
    </w:p>
    <w:bookmarkStart w:id="333" w:name="Footnote8"/>
    <w:p w14:paraId="5981DB1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w:t>
      </w:r>
      <w:r w:rsidRPr="00807A92">
        <w:rPr>
          <w:rFonts w:ascii="Times New Roman" w:eastAsia="Times New Roman" w:hAnsi="Times New Roman" w:cs="Times New Roman"/>
          <w:sz w:val="24"/>
          <w:szCs w:val="24"/>
          <w:lang w:eastAsia="it-IT"/>
        </w:rPr>
        <w:fldChar w:fldCharType="end"/>
      </w:r>
      <w:bookmarkEnd w:id="333"/>
      <w:r w:rsidRPr="00807A92">
        <w:rPr>
          <w:rFonts w:ascii="Times New Roman" w:eastAsia="Times New Roman" w:hAnsi="Times New Roman" w:cs="Times New Roman"/>
          <w:sz w:val="24"/>
          <w:szCs w:val="24"/>
          <w:lang w:eastAsia="it-IT"/>
        </w:rPr>
        <w:t xml:space="preserve">      Already judgment of 6 October 1982, CILFIT and Others (283/81, EU:C:1982:335, paragraph 9). See also judgment of 10 January 2006, </w:t>
      </w:r>
      <w:r w:rsidRPr="00807A92">
        <w:rPr>
          <w:rFonts w:ascii="Times New Roman" w:eastAsia="Times New Roman" w:hAnsi="Times New Roman" w:cs="Times New Roman"/>
          <w:i/>
          <w:iCs/>
          <w:sz w:val="24"/>
          <w:szCs w:val="24"/>
          <w:lang w:eastAsia="it-IT"/>
        </w:rPr>
        <w:t>IATA and ELFAA</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 xml:space="preserve">344/04, EU:C:2006:10, paragraph 28). </w:t>
      </w:r>
    </w:p>
    <w:p w14:paraId="65C02075"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59AFDEB3">
          <v:rect id="_x0000_i89952" style="width:0;height:1.5pt" o:hralign="center" o:hrstd="t" o:hr="t" fillcolor="#a0a0a0" stroked="f"/>
        </w:pict>
      </w:r>
    </w:p>
    <w:bookmarkStart w:id="334" w:name="Footnote9"/>
    <w:p w14:paraId="16AA0D6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w:t>
      </w:r>
      <w:r w:rsidRPr="00807A92">
        <w:rPr>
          <w:rFonts w:ascii="Times New Roman" w:eastAsia="Times New Roman" w:hAnsi="Times New Roman" w:cs="Times New Roman"/>
          <w:sz w:val="24"/>
          <w:szCs w:val="24"/>
          <w:lang w:eastAsia="it-IT"/>
        </w:rPr>
        <w:fldChar w:fldCharType="end"/>
      </w:r>
      <w:bookmarkEnd w:id="334"/>
      <w:r w:rsidRPr="00807A92">
        <w:rPr>
          <w:rFonts w:ascii="Times New Roman" w:eastAsia="Times New Roman" w:hAnsi="Times New Roman" w:cs="Times New Roman"/>
          <w:sz w:val="24"/>
          <w:szCs w:val="24"/>
          <w:lang w:eastAsia="it-IT"/>
        </w:rPr>
        <w:t xml:space="preserve">      Already judgment of 16 June 1981, </w:t>
      </w:r>
      <w:r w:rsidRPr="00807A92">
        <w:rPr>
          <w:rFonts w:ascii="Times New Roman" w:eastAsia="Times New Roman" w:hAnsi="Times New Roman" w:cs="Times New Roman"/>
          <w:i/>
          <w:iCs/>
          <w:sz w:val="24"/>
          <w:szCs w:val="24"/>
          <w:lang w:eastAsia="it-IT"/>
        </w:rPr>
        <w:t>Salonia</w:t>
      </w:r>
      <w:r w:rsidRPr="00807A92">
        <w:rPr>
          <w:rFonts w:ascii="Times New Roman" w:eastAsia="Times New Roman" w:hAnsi="Times New Roman" w:cs="Times New Roman"/>
          <w:sz w:val="24"/>
          <w:szCs w:val="24"/>
          <w:lang w:eastAsia="it-IT"/>
        </w:rPr>
        <w:t xml:space="preserve"> (126/80, EU:C:1981:136, paragraph 7). See also judgment of 15 January 2013, </w:t>
      </w:r>
      <w:r w:rsidRPr="00807A92">
        <w:rPr>
          <w:rFonts w:ascii="Times New Roman" w:eastAsia="Times New Roman" w:hAnsi="Times New Roman" w:cs="Times New Roman"/>
          <w:i/>
          <w:iCs/>
          <w:sz w:val="24"/>
          <w:szCs w:val="24"/>
          <w:lang w:eastAsia="it-IT"/>
        </w:rPr>
        <w:t>Križan and Others</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 xml:space="preserve">416/10, EU:C:2013:8, paragraph 65). </w:t>
      </w:r>
    </w:p>
    <w:p w14:paraId="14D22881"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AFF55F0">
          <v:rect id="_x0000_i89953" style="width:0;height:1.5pt" o:hralign="center" o:hrstd="t" o:hr="t" fillcolor="#a0a0a0" stroked="f"/>
        </w:pict>
      </w:r>
    </w:p>
    <w:bookmarkStart w:id="335" w:name="Footnote10"/>
    <w:p w14:paraId="5D6893C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w:t>
      </w:r>
      <w:r w:rsidRPr="00807A92">
        <w:rPr>
          <w:rFonts w:ascii="Times New Roman" w:eastAsia="Times New Roman" w:hAnsi="Times New Roman" w:cs="Times New Roman"/>
          <w:sz w:val="24"/>
          <w:szCs w:val="24"/>
          <w:lang w:eastAsia="it-IT"/>
        </w:rPr>
        <w:fldChar w:fldCharType="end"/>
      </w:r>
      <w:bookmarkEnd w:id="335"/>
      <w:r w:rsidRPr="00807A92">
        <w:rPr>
          <w:rFonts w:ascii="Times New Roman" w:eastAsia="Times New Roman" w:hAnsi="Times New Roman" w:cs="Times New Roman"/>
          <w:sz w:val="24"/>
          <w:szCs w:val="24"/>
          <w:lang w:eastAsia="it-IT"/>
        </w:rPr>
        <w:t>      See, for example, judgments of 17 July 2008, Coleman (C</w:t>
      </w:r>
      <w:r w:rsidRPr="00807A92">
        <w:rPr>
          <w:rFonts w:ascii="Times New Roman" w:eastAsia="Times New Roman" w:hAnsi="Times New Roman" w:cs="Times New Roman"/>
          <w:sz w:val="24"/>
          <w:szCs w:val="24"/>
          <w:lang w:eastAsia="it-IT"/>
        </w:rPr>
        <w:noBreakHyphen/>
        <w:t xml:space="preserve">303/06, EU:C:2008:415, paragraph 29 and the case-law cited), and of 22 December 2008,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Les Vergers du Vieux Tauves</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48/07, EU:C:2008:758, paragraph 20 and the case-law cited).</w:t>
      </w:r>
    </w:p>
    <w:p w14:paraId="0FFA6555"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pict w14:anchorId="4090BB05">
          <v:rect id="_x0000_i89954" style="width:0;height:1.5pt" o:hralign="center" o:hrstd="t" o:hr="t" fillcolor="#a0a0a0" stroked="f"/>
        </w:pict>
      </w:r>
    </w:p>
    <w:bookmarkStart w:id="336" w:name="Footnote11"/>
    <w:p w14:paraId="140E232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w:t>
      </w:r>
      <w:r w:rsidRPr="00807A92">
        <w:rPr>
          <w:rFonts w:ascii="Times New Roman" w:eastAsia="Times New Roman" w:hAnsi="Times New Roman" w:cs="Times New Roman"/>
          <w:sz w:val="24"/>
          <w:szCs w:val="24"/>
          <w:lang w:eastAsia="it-IT"/>
        </w:rPr>
        <w:fldChar w:fldCharType="end"/>
      </w:r>
      <w:bookmarkEnd w:id="336"/>
      <w:r w:rsidRPr="00807A92">
        <w:rPr>
          <w:rFonts w:ascii="Times New Roman" w:eastAsia="Times New Roman" w:hAnsi="Times New Roman" w:cs="Times New Roman"/>
          <w:sz w:val="24"/>
          <w:szCs w:val="24"/>
          <w:lang w:eastAsia="it-IT"/>
        </w:rPr>
        <w:t>      See, for example, judgment of 11 June 1987, X (14/86, EU:C:1987:275, paragraph 11).</w:t>
      </w:r>
    </w:p>
    <w:p w14:paraId="7D676EA0"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B6378B3">
          <v:rect id="_x0000_i89955" style="width:0;height:1.5pt" o:hralign="center" o:hrstd="t" o:hr="t" fillcolor="#a0a0a0" stroked="f"/>
        </w:pict>
      </w:r>
    </w:p>
    <w:bookmarkStart w:id="337" w:name="Footnote12"/>
    <w:p w14:paraId="040BD9B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w:t>
      </w:r>
      <w:r w:rsidRPr="00807A92">
        <w:rPr>
          <w:rFonts w:ascii="Times New Roman" w:eastAsia="Times New Roman" w:hAnsi="Times New Roman" w:cs="Times New Roman"/>
          <w:sz w:val="24"/>
          <w:szCs w:val="24"/>
          <w:lang w:eastAsia="it-IT"/>
        </w:rPr>
        <w:fldChar w:fldCharType="end"/>
      </w:r>
      <w:bookmarkEnd w:id="337"/>
      <w:r w:rsidRPr="00807A92">
        <w:rPr>
          <w:rFonts w:ascii="Times New Roman" w:eastAsia="Times New Roman" w:hAnsi="Times New Roman" w:cs="Times New Roman"/>
          <w:sz w:val="24"/>
          <w:szCs w:val="24"/>
          <w:lang w:eastAsia="it-IT"/>
        </w:rPr>
        <w:t>      See, for example, judgment of 13 April 2000, Lehtonen and Castors Braine</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176/96, EU:C:2000:201, paragraph 19).</w:t>
      </w:r>
    </w:p>
    <w:p w14:paraId="55AB7F51"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21A2241">
          <v:rect id="_x0000_i89956" style="width:0;height:1.5pt" o:hralign="center" o:hrstd="t" o:hr="t" fillcolor="#a0a0a0" stroked="f"/>
        </w:pict>
      </w:r>
    </w:p>
    <w:bookmarkStart w:id="338" w:name="Footnote13"/>
    <w:p w14:paraId="2F4037B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w:t>
      </w:r>
      <w:r w:rsidRPr="00807A92">
        <w:rPr>
          <w:rFonts w:ascii="Times New Roman" w:eastAsia="Times New Roman" w:hAnsi="Times New Roman" w:cs="Times New Roman"/>
          <w:sz w:val="24"/>
          <w:szCs w:val="24"/>
          <w:lang w:eastAsia="it-IT"/>
        </w:rPr>
        <w:fldChar w:fldCharType="end"/>
      </w:r>
      <w:bookmarkEnd w:id="338"/>
      <w:r w:rsidRPr="00807A92">
        <w:rPr>
          <w:rFonts w:ascii="Times New Roman" w:eastAsia="Times New Roman" w:hAnsi="Times New Roman" w:cs="Times New Roman"/>
          <w:sz w:val="24"/>
          <w:szCs w:val="24"/>
          <w:lang w:eastAsia="it-IT"/>
        </w:rPr>
        <w:t xml:space="preserve">      Already judgment of 28 June 1978, </w:t>
      </w:r>
      <w:r w:rsidRPr="00807A92">
        <w:rPr>
          <w:rFonts w:ascii="Times New Roman" w:eastAsia="Times New Roman" w:hAnsi="Times New Roman" w:cs="Times New Roman"/>
          <w:i/>
          <w:iCs/>
          <w:sz w:val="24"/>
          <w:szCs w:val="24"/>
          <w:lang w:eastAsia="it-IT"/>
        </w:rPr>
        <w:t>Simmenthal</w:t>
      </w:r>
      <w:r w:rsidRPr="00807A92">
        <w:rPr>
          <w:rFonts w:ascii="Times New Roman" w:eastAsia="Times New Roman" w:hAnsi="Times New Roman" w:cs="Times New Roman"/>
          <w:sz w:val="24"/>
          <w:szCs w:val="24"/>
          <w:lang w:eastAsia="it-IT"/>
        </w:rPr>
        <w:t xml:space="preserve"> (70/77, EU:C:1978:139, paragraphs 10 and 11). See also recently, for example, judgment of 1 February 2017, </w:t>
      </w:r>
      <w:r w:rsidRPr="00807A92">
        <w:rPr>
          <w:rFonts w:ascii="Times New Roman" w:eastAsia="Times New Roman" w:hAnsi="Times New Roman" w:cs="Times New Roman"/>
          <w:i/>
          <w:iCs/>
          <w:sz w:val="24"/>
          <w:szCs w:val="24"/>
          <w:lang w:eastAsia="it-IT"/>
        </w:rPr>
        <w:t>Tolley</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 xml:space="preserve">430/15, EU:C:2017:74, paragraphs 32 and 33). </w:t>
      </w:r>
    </w:p>
    <w:p w14:paraId="4DA659E5"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FA0C612">
          <v:rect id="_x0000_i89957" style="width:0;height:1.5pt" o:hralign="center" o:hrstd="t" o:hr="t" fillcolor="#a0a0a0" stroked="f"/>
        </w:pict>
      </w:r>
    </w:p>
    <w:bookmarkStart w:id="339" w:name="Footnote14"/>
    <w:p w14:paraId="01D38E0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14</w:t>
      </w:r>
      <w:r w:rsidRPr="00807A92">
        <w:rPr>
          <w:rFonts w:ascii="Times New Roman" w:eastAsia="Times New Roman" w:hAnsi="Times New Roman" w:cs="Times New Roman"/>
          <w:sz w:val="24"/>
          <w:szCs w:val="24"/>
          <w:lang w:eastAsia="it-IT"/>
        </w:rPr>
        <w:fldChar w:fldCharType="end"/>
      </w:r>
      <w:bookmarkEnd w:id="339"/>
      <w:r w:rsidRPr="00807A92">
        <w:rPr>
          <w:rFonts w:ascii="Times New Roman" w:eastAsia="Times New Roman" w:hAnsi="Times New Roman" w:cs="Times New Roman"/>
          <w:sz w:val="24"/>
          <w:szCs w:val="24"/>
          <w:lang w:eastAsia="it-IT"/>
        </w:rPr>
        <w:t>      See, for instance, judgment of 14 December 1995, Peterbroeck (C</w:t>
      </w:r>
      <w:r w:rsidRPr="00807A92">
        <w:rPr>
          <w:rFonts w:ascii="Times New Roman" w:eastAsia="Times New Roman" w:hAnsi="Times New Roman" w:cs="Times New Roman"/>
          <w:sz w:val="24"/>
          <w:szCs w:val="24"/>
          <w:lang w:eastAsia="it-IT"/>
        </w:rPr>
        <w:noBreakHyphen/>
        <w:t xml:space="preserve">312/93, EU:C:1995:437, paragraphs 19 and 20). See also, with particular regard to potential limitation of the scope of (second) appeals, judgment of June 2002, </w:t>
      </w:r>
      <w:r w:rsidRPr="00807A92">
        <w:rPr>
          <w:rFonts w:ascii="Times New Roman" w:eastAsia="Times New Roman" w:hAnsi="Times New Roman" w:cs="Times New Roman"/>
          <w:i/>
          <w:iCs/>
          <w:sz w:val="24"/>
          <w:szCs w:val="24"/>
          <w:lang w:eastAsia="it-IT"/>
        </w:rPr>
        <w:t xml:space="preserve">Lyckeskog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 xml:space="preserve">99/00, EU:C:2002:329, paragraphs 17 and 18). </w:t>
      </w:r>
    </w:p>
    <w:p w14:paraId="2BFD0C65"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5DB6BB3">
          <v:rect id="_x0000_i89958" style="width:0;height:1.5pt" o:hralign="center" o:hrstd="t" o:hr="t" fillcolor="#a0a0a0" stroked="f"/>
        </w:pict>
      </w:r>
    </w:p>
    <w:bookmarkStart w:id="340" w:name="Footnote15"/>
    <w:p w14:paraId="25D154B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15</w:t>
      </w:r>
      <w:r w:rsidRPr="00807A92">
        <w:rPr>
          <w:rFonts w:ascii="Times New Roman" w:eastAsia="Times New Roman" w:hAnsi="Times New Roman" w:cs="Times New Roman"/>
          <w:sz w:val="24"/>
          <w:szCs w:val="24"/>
          <w:lang w:eastAsia="it-IT"/>
        </w:rPr>
        <w:fldChar w:fldCharType="end"/>
      </w:r>
      <w:bookmarkEnd w:id="340"/>
      <w:r w:rsidRPr="00807A92">
        <w:rPr>
          <w:rFonts w:ascii="Times New Roman" w:eastAsia="Times New Roman" w:hAnsi="Times New Roman" w:cs="Times New Roman"/>
          <w:sz w:val="24"/>
          <w:szCs w:val="24"/>
          <w:lang w:eastAsia="it-IT"/>
        </w:rPr>
        <w:t xml:space="preserve">      See also, more generally, judgment of 5 October 2010, </w:t>
      </w:r>
      <w:r w:rsidRPr="00807A92">
        <w:rPr>
          <w:rFonts w:ascii="Times New Roman" w:eastAsia="Times New Roman" w:hAnsi="Times New Roman" w:cs="Times New Roman"/>
          <w:i/>
          <w:iCs/>
          <w:sz w:val="24"/>
          <w:szCs w:val="24"/>
          <w:lang w:eastAsia="it-IT"/>
        </w:rPr>
        <w:t xml:space="preserve">Elchinov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 xml:space="preserve">173/09, EU:C:2010:581, paragraph 25), or judgment of 15 January 2013, </w:t>
      </w:r>
      <w:r w:rsidRPr="00807A92">
        <w:rPr>
          <w:rFonts w:ascii="Times New Roman" w:eastAsia="Times New Roman" w:hAnsi="Times New Roman" w:cs="Times New Roman"/>
          <w:i/>
          <w:iCs/>
          <w:sz w:val="24"/>
          <w:szCs w:val="24"/>
          <w:lang w:eastAsia="it-IT"/>
        </w:rPr>
        <w:t>Križan and Others</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 xml:space="preserve">416/10, EU:C:2013:8, paragraph 67). </w:t>
      </w:r>
    </w:p>
    <w:p w14:paraId="6AABA8AD"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DBF5D43">
          <v:rect id="_x0000_i89959" style="width:0;height:1.5pt" o:hralign="center" o:hrstd="t" o:hr="t" fillcolor="#a0a0a0" stroked="f"/>
        </w:pict>
      </w:r>
    </w:p>
    <w:bookmarkStart w:id="341" w:name="Footnote16"/>
    <w:p w14:paraId="5672D78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16</w:t>
      </w:r>
      <w:r w:rsidRPr="00807A92">
        <w:rPr>
          <w:rFonts w:ascii="Times New Roman" w:eastAsia="Times New Roman" w:hAnsi="Times New Roman" w:cs="Times New Roman"/>
          <w:sz w:val="24"/>
          <w:szCs w:val="24"/>
          <w:lang w:eastAsia="it-IT"/>
        </w:rPr>
        <w:fldChar w:fldCharType="end"/>
      </w:r>
      <w:bookmarkEnd w:id="341"/>
      <w:r w:rsidRPr="00807A92">
        <w:rPr>
          <w:rFonts w:ascii="Times New Roman" w:eastAsia="Times New Roman" w:hAnsi="Times New Roman" w:cs="Times New Roman"/>
          <w:sz w:val="24"/>
          <w:szCs w:val="24"/>
          <w:lang w:eastAsia="it-IT"/>
        </w:rPr>
        <w:t>      See, for example, judgments of 17 July 2014, Torresi (C</w:t>
      </w:r>
      <w:r w:rsidRPr="00807A92">
        <w:rPr>
          <w:rFonts w:ascii="Times New Roman" w:eastAsia="Times New Roman" w:hAnsi="Times New Roman" w:cs="Times New Roman"/>
          <w:sz w:val="24"/>
          <w:szCs w:val="24"/>
          <w:lang w:eastAsia="it-IT"/>
        </w:rPr>
        <w:noBreakHyphen/>
        <w:t>58/13 and C</w:t>
      </w:r>
      <w:r w:rsidRPr="00807A92">
        <w:rPr>
          <w:rFonts w:ascii="Times New Roman" w:eastAsia="Times New Roman" w:hAnsi="Times New Roman" w:cs="Times New Roman"/>
          <w:sz w:val="24"/>
          <w:szCs w:val="24"/>
          <w:lang w:eastAsia="it-IT"/>
        </w:rPr>
        <w:noBreakHyphen/>
        <w:t>59/13, EU:C:2014:2088, paragraph 32 and the case-law cited); of 20 December 2017, Schweppes (C</w:t>
      </w:r>
      <w:r w:rsidRPr="00807A92">
        <w:rPr>
          <w:rFonts w:ascii="Times New Roman" w:eastAsia="Times New Roman" w:hAnsi="Times New Roman" w:cs="Times New Roman"/>
          <w:sz w:val="24"/>
          <w:szCs w:val="24"/>
          <w:lang w:eastAsia="it-IT"/>
        </w:rPr>
        <w:noBreakHyphen/>
        <w:t>291/16, EU:C:2017:990, paragraph 26); and of 6 November 2018, Bauer and Willmeroth (C</w:t>
      </w:r>
      <w:r w:rsidRPr="00807A92">
        <w:rPr>
          <w:rFonts w:ascii="Times New Roman" w:eastAsia="Times New Roman" w:hAnsi="Times New Roman" w:cs="Times New Roman"/>
          <w:sz w:val="24"/>
          <w:szCs w:val="24"/>
          <w:lang w:eastAsia="it-IT"/>
        </w:rPr>
        <w:noBreakHyphen/>
        <w:t>569/16 and C</w:t>
      </w:r>
      <w:r w:rsidRPr="00807A92">
        <w:rPr>
          <w:rFonts w:ascii="Times New Roman" w:eastAsia="Times New Roman" w:hAnsi="Times New Roman" w:cs="Times New Roman"/>
          <w:sz w:val="24"/>
          <w:szCs w:val="24"/>
          <w:lang w:eastAsia="it-IT"/>
        </w:rPr>
        <w:noBreakHyphen/>
        <w:t>570/16, EU:C:2018:871, paragraph 21).</w:t>
      </w:r>
    </w:p>
    <w:p w14:paraId="0EC3385A"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5169A5C3">
          <v:rect id="_x0000_i89960" style="width:0;height:1.5pt" o:hralign="center" o:hrstd="t" o:hr="t" fillcolor="#a0a0a0" stroked="f"/>
        </w:pict>
      </w:r>
    </w:p>
    <w:bookmarkStart w:id="342" w:name="Footnote17"/>
    <w:p w14:paraId="7255942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17</w:t>
      </w:r>
      <w:r w:rsidRPr="00807A92">
        <w:rPr>
          <w:rFonts w:ascii="Times New Roman" w:eastAsia="Times New Roman" w:hAnsi="Times New Roman" w:cs="Times New Roman"/>
          <w:sz w:val="24"/>
          <w:szCs w:val="24"/>
          <w:lang w:eastAsia="it-IT"/>
        </w:rPr>
        <w:fldChar w:fldCharType="end"/>
      </w:r>
      <w:bookmarkEnd w:id="342"/>
      <w:r w:rsidRPr="00807A92">
        <w:rPr>
          <w:rFonts w:ascii="Times New Roman" w:eastAsia="Times New Roman" w:hAnsi="Times New Roman" w:cs="Times New Roman"/>
          <w:sz w:val="24"/>
          <w:szCs w:val="24"/>
          <w:lang w:eastAsia="it-IT"/>
        </w:rPr>
        <w:t xml:space="preserve">      See, order of 5 March 1986, Wünsche (69/85, EU:C:1986:104, paragraph 15); judgment of 11 June 1987, </w:t>
      </w:r>
      <w:r w:rsidRPr="00807A92">
        <w:rPr>
          <w:rFonts w:ascii="Times New Roman" w:eastAsia="Times New Roman" w:hAnsi="Times New Roman" w:cs="Times New Roman"/>
          <w:i/>
          <w:iCs/>
          <w:sz w:val="24"/>
          <w:szCs w:val="24"/>
          <w:lang w:eastAsia="it-IT"/>
        </w:rPr>
        <w:t xml:space="preserve">X </w:t>
      </w:r>
      <w:r w:rsidRPr="00807A92">
        <w:rPr>
          <w:rFonts w:ascii="Times New Roman" w:eastAsia="Times New Roman" w:hAnsi="Times New Roman" w:cs="Times New Roman"/>
          <w:sz w:val="24"/>
          <w:szCs w:val="24"/>
          <w:lang w:eastAsia="it-IT"/>
        </w:rPr>
        <w:t>(14/86, EU:C:1987:275, paragraph 12); judgment of 6 March 2003, Kaba</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466/00, EU:C:2003:127, paragraph 39); and order 30 June 2016, Sokoll-Seebacher and Naderhirn (C</w:t>
      </w:r>
      <w:r w:rsidRPr="00807A92">
        <w:rPr>
          <w:rFonts w:ascii="Times New Roman" w:eastAsia="Times New Roman" w:hAnsi="Times New Roman" w:cs="Times New Roman"/>
          <w:sz w:val="24"/>
          <w:szCs w:val="24"/>
          <w:lang w:eastAsia="it-IT"/>
        </w:rPr>
        <w:noBreakHyphen/>
        <w:t xml:space="preserve">634/15, EU:C:2016:510, paragraph 19). </w:t>
      </w:r>
    </w:p>
    <w:p w14:paraId="5821BCF7"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5D08FC2F">
          <v:rect id="_x0000_i89961" style="width:0;height:1.5pt" o:hralign="center" o:hrstd="t" o:hr="t" fillcolor="#a0a0a0" stroked="f"/>
        </w:pict>
      </w:r>
    </w:p>
    <w:bookmarkStart w:id="343" w:name="Footnote18"/>
    <w:p w14:paraId="215B221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18</w:t>
      </w:r>
      <w:r w:rsidRPr="00807A92">
        <w:rPr>
          <w:rFonts w:ascii="Times New Roman" w:eastAsia="Times New Roman" w:hAnsi="Times New Roman" w:cs="Times New Roman"/>
          <w:sz w:val="24"/>
          <w:szCs w:val="24"/>
          <w:lang w:eastAsia="it-IT"/>
        </w:rPr>
        <w:fldChar w:fldCharType="end"/>
      </w:r>
      <w:bookmarkEnd w:id="343"/>
      <w:r w:rsidRPr="00807A92">
        <w:rPr>
          <w:rFonts w:ascii="Times New Roman" w:eastAsia="Times New Roman" w:hAnsi="Times New Roman" w:cs="Times New Roman"/>
          <w:sz w:val="24"/>
          <w:szCs w:val="24"/>
          <w:lang w:eastAsia="it-IT"/>
        </w:rPr>
        <w:t>      Judgment of 27 March 1963, Da Costa and Others (28/62 to 30/62, EU:C:1963:6).</w:t>
      </w:r>
    </w:p>
    <w:p w14:paraId="403724A5"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CBF88D1">
          <v:rect id="_x0000_i89962" style="width:0;height:1.5pt" o:hralign="center" o:hrstd="t" o:hr="t" fillcolor="#a0a0a0" stroked="f"/>
        </w:pict>
      </w:r>
    </w:p>
    <w:bookmarkStart w:id="344" w:name="Footnote19"/>
    <w:p w14:paraId="1E859D7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19</w:t>
      </w:r>
      <w:r w:rsidRPr="00807A92">
        <w:rPr>
          <w:rFonts w:ascii="Times New Roman" w:eastAsia="Times New Roman" w:hAnsi="Times New Roman" w:cs="Times New Roman"/>
          <w:sz w:val="24"/>
          <w:szCs w:val="24"/>
          <w:lang w:eastAsia="it-IT"/>
        </w:rPr>
        <w:fldChar w:fldCharType="end"/>
      </w:r>
      <w:bookmarkEnd w:id="344"/>
      <w:r w:rsidRPr="00807A92">
        <w:rPr>
          <w:rFonts w:ascii="Times New Roman" w:eastAsia="Times New Roman" w:hAnsi="Times New Roman" w:cs="Times New Roman"/>
          <w:sz w:val="24"/>
          <w:szCs w:val="24"/>
          <w:lang w:eastAsia="it-IT"/>
        </w:rPr>
        <w:t>      Judgment of 6 October 1982, CILFIT and Others (283/81, EU:C:1982:335, paragraphs 13 and 14).</w:t>
      </w:r>
    </w:p>
    <w:p w14:paraId="06F5C72E"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pict w14:anchorId="1AF0896D">
          <v:rect id="_x0000_i89963" style="width:0;height:1.5pt" o:hralign="center" o:hrstd="t" o:hr="t" fillcolor="#a0a0a0" stroked="f"/>
        </w:pict>
      </w:r>
    </w:p>
    <w:bookmarkStart w:id="345" w:name="Footnote20"/>
    <w:p w14:paraId="1DE6DBF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"Footref20"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20</w:t>
      </w:r>
      <w:r w:rsidRPr="00807A92">
        <w:rPr>
          <w:rFonts w:ascii="Times New Roman" w:eastAsia="Times New Roman" w:hAnsi="Times New Roman" w:cs="Times New Roman"/>
          <w:sz w:val="24"/>
          <w:szCs w:val="24"/>
          <w:lang w:eastAsia="it-IT"/>
        </w:rPr>
        <w:fldChar w:fldCharType="end"/>
      </w:r>
      <w:bookmarkEnd w:id="345"/>
      <w:r w:rsidRPr="00807A92">
        <w:rPr>
          <w:rFonts w:ascii="Times New Roman" w:eastAsia="Times New Roman" w:hAnsi="Times New Roman" w:cs="Times New Roman"/>
          <w:sz w:val="24"/>
          <w:szCs w:val="24"/>
          <w:lang w:eastAsia="it-IT"/>
        </w:rPr>
        <w:t xml:space="preserve">      With the implied assumption, made express only later, that the national judge is bound by the interpretation already provided by the Court – see, more recently, for example, judgment of 5 October 2010, </w:t>
      </w:r>
      <w:r w:rsidRPr="00807A92">
        <w:rPr>
          <w:rFonts w:ascii="Times New Roman" w:eastAsia="Times New Roman" w:hAnsi="Times New Roman" w:cs="Times New Roman"/>
          <w:i/>
          <w:iCs/>
          <w:sz w:val="24"/>
          <w:szCs w:val="24"/>
          <w:lang w:eastAsia="it-IT"/>
        </w:rPr>
        <w:t xml:space="preserve">Elchinov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 xml:space="preserve">173/09, EU:C:2010:581, paragraphs 29 and 30), or judgment of 5 July 2016, </w:t>
      </w:r>
      <w:r w:rsidRPr="00807A92">
        <w:rPr>
          <w:rFonts w:ascii="Times New Roman" w:eastAsia="Times New Roman" w:hAnsi="Times New Roman" w:cs="Times New Roman"/>
          <w:i/>
          <w:iCs/>
          <w:sz w:val="24"/>
          <w:szCs w:val="24"/>
          <w:lang w:eastAsia="it-IT"/>
        </w:rPr>
        <w:t xml:space="preserve">Ognyanov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 xml:space="preserve">614/14, EU:C:2016:514, paragraph 33). </w:t>
      </w:r>
    </w:p>
    <w:p w14:paraId="3C928686"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8D4E9BA">
          <v:rect id="_x0000_i89964" style="width:0;height:1.5pt" o:hralign="center" o:hrstd="t" o:hr="t" fillcolor="#a0a0a0" stroked="f"/>
        </w:pict>
      </w:r>
    </w:p>
    <w:bookmarkStart w:id="346" w:name="Footnote21"/>
    <w:p w14:paraId="5C3FA80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"Footref21"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21</w:t>
      </w:r>
      <w:r w:rsidRPr="00807A92">
        <w:rPr>
          <w:rFonts w:ascii="Times New Roman" w:eastAsia="Times New Roman" w:hAnsi="Times New Roman" w:cs="Times New Roman"/>
          <w:sz w:val="24"/>
          <w:szCs w:val="24"/>
          <w:lang w:eastAsia="it-IT"/>
        </w:rPr>
        <w:fldChar w:fldCharType="end"/>
      </w:r>
      <w:bookmarkEnd w:id="346"/>
      <w:r w:rsidRPr="00807A92">
        <w:rPr>
          <w:rFonts w:ascii="Times New Roman" w:eastAsia="Times New Roman" w:hAnsi="Times New Roman" w:cs="Times New Roman"/>
          <w:sz w:val="24"/>
          <w:szCs w:val="24"/>
          <w:lang w:eastAsia="it-IT"/>
        </w:rPr>
        <w:t>      See, for example, judgment of 4 November 1997, Parfums Christian Dior</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337/95, EU:C:1997:517, paragraph 29).</w:t>
      </w:r>
    </w:p>
    <w:p w14:paraId="111F1813"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B1730DB">
          <v:rect id="_x0000_i89965" style="width:0;height:1.5pt" o:hralign="center" o:hrstd="t" o:hr="t" fillcolor="#a0a0a0" stroked="f"/>
        </w:pict>
      </w:r>
    </w:p>
    <w:bookmarkStart w:id="347" w:name="Footnote22"/>
    <w:p w14:paraId="70EB557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"Footref22"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22</w:t>
      </w:r>
      <w:r w:rsidRPr="00807A92">
        <w:rPr>
          <w:rFonts w:ascii="Times New Roman" w:eastAsia="Times New Roman" w:hAnsi="Times New Roman" w:cs="Times New Roman"/>
          <w:sz w:val="24"/>
          <w:szCs w:val="24"/>
          <w:lang w:eastAsia="it-IT"/>
        </w:rPr>
        <w:fldChar w:fldCharType="end"/>
      </w:r>
      <w:bookmarkEnd w:id="347"/>
      <w:r w:rsidRPr="00807A92">
        <w:rPr>
          <w:rFonts w:ascii="Times New Roman" w:eastAsia="Times New Roman" w:hAnsi="Times New Roman" w:cs="Times New Roman"/>
          <w:sz w:val="24"/>
          <w:szCs w:val="24"/>
          <w:lang w:eastAsia="it-IT"/>
        </w:rPr>
        <w:t xml:space="preserve">      I shall use this well-known term as a shorthand throughout this Opinion for ‘courts or tribunals of a Member State against whose decisions there is no judicial remedy under national law’. Further on the identification of such courts in the context of each </w:t>
      </w:r>
      <w:r w:rsidRPr="00807A92">
        <w:rPr>
          <w:rFonts w:ascii="Times New Roman" w:eastAsia="Times New Roman" w:hAnsi="Times New Roman" w:cs="Times New Roman"/>
          <w:i/>
          <w:iCs/>
          <w:sz w:val="24"/>
          <w:szCs w:val="24"/>
          <w:lang w:eastAsia="it-IT"/>
        </w:rPr>
        <w:t>specific</w:t>
      </w:r>
      <w:r w:rsidRPr="00807A92">
        <w:rPr>
          <w:rFonts w:ascii="Times New Roman" w:eastAsia="Times New Roman" w:hAnsi="Times New Roman" w:cs="Times New Roman"/>
          <w:sz w:val="24"/>
          <w:szCs w:val="24"/>
          <w:lang w:eastAsia="it-IT"/>
        </w:rPr>
        <w:t xml:space="preserve"> proceeding, see, for example, judgments of 4 June 2002, </w:t>
      </w:r>
      <w:r w:rsidRPr="00807A92">
        <w:rPr>
          <w:rFonts w:ascii="Times New Roman" w:eastAsia="Times New Roman" w:hAnsi="Times New Roman" w:cs="Times New Roman"/>
          <w:i/>
          <w:iCs/>
          <w:sz w:val="24"/>
          <w:szCs w:val="24"/>
          <w:lang w:eastAsia="it-IT"/>
        </w:rPr>
        <w:t>Lyckeskog</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 xml:space="preserve">99/00, EU:C:2002:329, paragraph 16); of 16 December 2008, </w:t>
      </w:r>
      <w:r w:rsidRPr="00807A92">
        <w:rPr>
          <w:rFonts w:ascii="Times New Roman" w:eastAsia="Times New Roman" w:hAnsi="Times New Roman" w:cs="Times New Roman"/>
          <w:i/>
          <w:iCs/>
          <w:sz w:val="24"/>
          <w:szCs w:val="24"/>
          <w:lang w:eastAsia="it-IT"/>
        </w:rPr>
        <w:t>Cartesio</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 xml:space="preserve">210/06, EU:C:2008:723, paragraphs 76 to 78); of 15 January 2013, </w:t>
      </w:r>
      <w:r w:rsidRPr="00807A92">
        <w:rPr>
          <w:rFonts w:ascii="Times New Roman" w:eastAsia="Times New Roman" w:hAnsi="Times New Roman" w:cs="Times New Roman"/>
          <w:i/>
          <w:iCs/>
          <w:sz w:val="24"/>
          <w:szCs w:val="24"/>
          <w:lang w:eastAsia="it-IT"/>
        </w:rPr>
        <w:t>Križan and Others</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 xml:space="preserve">416/10, EU:C:2013:8, paragraph 72); and of 21 December 2016, </w:t>
      </w:r>
      <w:r w:rsidRPr="00807A92">
        <w:rPr>
          <w:rFonts w:ascii="Times New Roman" w:eastAsia="Times New Roman" w:hAnsi="Times New Roman" w:cs="Times New Roman"/>
          <w:i/>
          <w:iCs/>
          <w:sz w:val="24"/>
          <w:szCs w:val="24"/>
          <w:lang w:eastAsia="it-IT"/>
        </w:rPr>
        <w:t>Biuro podróży ‘Partner’</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119/15, EU:C:2016:987, paragraphs 52 and 53).</w:t>
      </w:r>
    </w:p>
    <w:p w14:paraId="0F3A716D"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3BA0273">
          <v:rect id="_x0000_i89966" style="width:0;height:1.5pt" o:hralign="center" o:hrstd="t" o:hr="t" fillcolor="#a0a0a0" stroked="f"/>
        </w:pict>
      </w:r>
    </w:p>
    <w:bookmarkStart w:id="348" w:name="Footnote23"/>
    <w:p w14:paraId="501E294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"Footref23"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23</w:t>
      </w:r>
      <w:r w:rsidRPr="00807A92">
        <w:rPr>
          <w:rFonts w:ascii="Times New Roman" w:eastAsia="Times New Roman" w:hAnsi="Times New Roman" w:cs="Times New Roman"/>
          <w:sz w:val="24"/>
          <w:szCs w:val="24"/>
          <w:lang w:eastAsia="it-IT"/>
        </w:rPr>
        <w:fldChar w:fldCharType="end"/>
      </w:r>
      <w:bookmarkEnd w:id="348"/>
      <w:r w:rsidRPr="00807A92">
        <w:rPr>
          <w:rFonts w:ascii="Times New Roman" w:eastAsia="Times New Roman" w:hAnsi="Times New Roman" w:cs="Times New Roman"/>
          <w:sz w:val="24"/>
          <w:szCs w:val="24"/>
          <w:lang w:eastAsia="it-IT"/>
        </w:rPr>
        <w:t xml:space="preserve">      See, judgments of 22 October 1987, </w:t>
      </w:r>
      <w:r w:rsidRPr="00807A92">
        <w:rPr>
          <w:rFonts w:ascii="Times New Roman" w:eastAsia="Times New Roman" w:hAnsi="Times New Roman" w:cs="Times New Roman"/>
          <w:i/>
          <w:iCs/>
          <w:sz w:val="24"/>
          <w:szCs w:val="24"/>
          <w:lang w:eastAsia="it-IT"/>
        </w:rPr>
        <w:t>Foto-Frost</w:t>
      </w:r>
      <w:r w:rsidRPr="00807A92">
        <w:rPr>
          <w:rFonts w:ascii="Times New Roman" w:eastAsia="Times New Roman" w:hAnsi="Times New Roman" w:cs="Times New Roman"/>
          <w:sz w:val="24"/>
          <w:szCs w:val="24"/>
          <w:lang w:eastAsia="it-IT"/>
        </w:rPr>
        <w:t xml:space="preserve"> (314/85, EU:C:1987:452, paragraph 20); of 6 December 2005, Gaston Schul Douane-expediteur (C</w:t>
      </w:r>
      <w:r w:rsidRPr="00807A92">
        <w:rPr>
          <w:rFonts w:ascii="Times New Roman" w:eastAsia="Times New Roman" w:hAnsi="Times New Roman" w:cs="Times New Roman"/>
          <w:sz w:val="24"/>
          <w:szCs w:val="24"/>
          <w:lang w:eastAsia="it-IT"/>
        </w:rPr>
        <w:noBreakHyphen/>
        <w:t>461/03, EU:C:2005:742, paragraph 17); and of 21 December 2011, Air Transport Association of America and Others (C</w:t>
      </w:r>
      <w:r w:rsidRPr="00807A92">
        <w:rPr>
          <w:rFonts w:ascii="Times New Roman" w:eastAsia="Times New Roman" w:hAnsi="Times New Roman" w:cs="Times New Roman"/>
          <w:sz w:val="24"/>
          <w:szCs w:val="24"/>
          <w:lang w:eastAsia="it-IT"/>
        </w:rPr>
        <w:noBreakHyphen/>
        <w:t>366/10, EU:C:2011:864, paragraph 47).</w:t>
      </w:r>
    </w:p>
    <w:p w14:paraId="30218778"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1FCB4CC">
          <v:rect id="_x0000_i89967" style="width:0;height:1.5pt" o:hralign="center" o:hrstd="t" o:hr="t" fillcolor="#a0a0a0" stroked="f"/>
        </w:pict>
      </w:r>
    </w:p>
    <w:bookmarkStart w:id="349" w:name="Footnote24"/>
    <w:p w14:paraId="1156CCC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"Footref24"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24</w:t>
      </w:r>
      <w:r w:rsidRPr="00807A92">
        <w:rPr>
          <w:rFonts w:ascii="Times New Roman" w:eastAsia="Times New Roman" w:hAnsi="Times New Roman" w:cs="Times New Roman"/>
          <w:sz w:val="24"/>
          <w:szCs w:val="24"/>
          <w:lang w:eastAsia="it-IT"/>
        </w:rPr>
        <w:fldChar w:fldCharType="end"/>
      </w:r>
      <w:bookmarkEnd w:id="349"/>
      <w:r w:rsidRPr="00807A92">
        <w:rPr>
          <w:rFonts w:ascii="Times New Roman" w:eastAsia="Times New Roman" w:hAnsi="Times New Roman" w:cs="Times New Roman"/>
          <w:sz w:val="24"/>
          <w:szCs w:val="24"/>
          <w:lang w:eastAsia="it-IT"/>
        </w:rPr>
        <w:t>      See, for example, judgments of 22 October 1987, Foto-Frost (314/85, EU:C:1987:452, paragraph 15); of 6 December 2005, Gaston Schul Douane-expediteur (C</w:t>
      </w:r>
      <w:r w:rsidRPr="00807A92">
        <w:rPr>
          <w:rFonts w:ascii="Times New Roman" w:eastAsia="Times New Roman" w:hAnsi="Times New Roman" w:cs="Times New Roman"/>
          <w:sz w:val="24"/>
          <w:szCs w:val="24"/>
          <w:lang w:eastAsia="it-IT"/>
        </w:rPr>
        <w:noBreakHyphen/>
        <w:t>461/03, EU:C:2005:742, paragraph 21); of 28 March 2017, Rosneft</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 xml:space="preserve">72/15, EU:C:2017:236, paragraph 78 to 80). </w:t>
      </w:r>
    </w:p>
    <w:p w14:paraId="49FBB5E1"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26B0A05F">
          <v:rect id="_x0000_i89968" style="width:0;height:1.5pt" o:hralign="center" o:hrstd="t" o:hr="t" fillcolor="#a0a0a0" stroked="f"/>
        </w:pict>
      </w:r>
    </w:p>
    <w:bookmarkStart w:id="350" w:name="Footnote25"/>
    <w:p w14:paraId="587D57A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"Footref25"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25</w:t>
      </w:r>
      <w:r w:rsidRPr="00807A92">
        <w:rPr>
          <w:rFonts w:ascii="Times New Roman" w:eastAsia="Times New Roman" w:hAnsi="Times New Roman" w:cs="Times New Roman"/>
          <w:sz w:val="24"/>
          <w:szCs w:val="24"/>
          <w:lang w:eastAsia="it-IT"/>
        </w:rPr>
        <w:fldChar w:fldCharType="end"/>
      </w:r>
      <w:bookmarkEnd w:id="350"/>
      <w:r w:rsidRPr="00807A92">
        <w:rPr>
          <w:rFonts w:ascii="Times New Roman" w:eastAsia="Times New Roman" w:hAnsi="Times New Roman" w:cs="Times New Roman"/>
          <w:sz w:val="24"/>
          <w:szCs w:val="24"/>
          <w:lang w:eastAsia="it-IT"/>
        </w:rPr>
        <w:t>      See judgment of 6 December 2005, Gaston Schul Douane-expediteur (C</w:t>
      </w:r>
      <w:r w:rsidRPr="00807A92">
        <w:rPr>
          <w:rFonts w:ascii="Times New Roman" w:eastAsia="Times New Roman" w:hAnsi="Times New Roman" w:cs="Times New Roman"/>
          <w:sz w:val="24"/>
          <w:szCs w:val="24"/>
          <w:lang w:eastAsia="it-IT"/>
        </w:rPr>
        <w:noBreakHyphen/>
        <w:t xml:space="preserve">461/03, EU:C:2005:742, paragraphs 20 and 25). </w:t>
      </w:r>
    </w:p>
    <w:p w14:paraId="5B9940A4"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61052112">
          <v:rect id="_x0000_i89969" style="width:0;height:1.5pt" o:hralign="center" o:hrstd="t" o:hr="t" fillcolor="#a0a0a0" stroked="f"/>
        </w:pict>
      </w:r>
    </w:p>
    <w:bookmarkStart w:id="351" w:name="Footnote26"/>
    <w:p w14:paraId="2151C7A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"Footref26"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26</w:t>
      </w:r>
      <w:r w:rsidRPr="00807A92">
        <w:rPr>
          <w:rFonts w:ascii="Times New Roman" w:eastAsia="Times New Roman" w:hAnsi="Times New Roman" w:cs="Times New Roman"/>
          <w:sz w:val="24"/>
          <w:szCs w:val="24"/>
          <w:lang w:eastAsia="it-IT"/>
        </w:rPr>
        <w:fldChar w:fldCharType="end"/>
      </w:r>
      <w:bookmarkEnd w:id="351"/>
      <w:r w:rsidRPr="00807A92">
        <w:rPr>
          <w:rFonts w:ascii="Times New Roman" w:eastAsia="Times New Roman" w:hAnsi="Times New Roman" w:cs="Times New Roman"/>
          <w:sz w:val="24"/>
          <w:szCs w:val="24"/>
          <w:lang w:eastAsia="it-IT"/>
        </w:rPr>
        <w:t xml:space="preserve">      Opinion 1/09 (Agreement creating a Unified Patent Litigation System) of 8 March 2011 (EU:C:2011:123, paragraph 84). My emphasis. </w:t>
      </w:r>
    </w:p>
    <w:p w14:paraId="5964C647"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CD29119">
          <v:rect id="_x0000_i89970" style="width:0;height:1.5pt" o:hralign="center" o:hrstd="t" o:hr="t" fillcolor="#a0a0a0" stroked="f"/>
        </w:pict>
      </w:r>
    </w:p>
    <w:bookmarkStart w:id="352" w:name="Footnote27"/>
    <w:p w14:paraId="0A177A9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"Footref27"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27</w:t>
      </w:r>
      <w:r w:rsidRPr="00807A92">
        <w:rPr>
          <w:rFonts w:ascii="Times New Roman" w:eastAsia="Times New Roman" w:hAnsi="Times New Roman" w:cs="Times New Roman"/>
          <w:sz w:val="24"/>
          <w:szCs w:val="24"/>
          <w:lang w:eastAsia="it-IT"/>
        </w:rPr>
        <w:fldChar w:fldCharType="end"/>
      </w:r>
      <w:bookmarkEnd w:id="352"/>
      <w:r w:rsidRPr="00807A92">
        <w:rPr>
          <w:rFonts w:ascii="Times New Roman" w:eastAsia="Times New Roman" w:hAnsi="Times New Roman" w:cs="Times New Roman"/>
          <w:sz w:val="24"/>
          <w:szCs w:val="24"/>
          <w:lang w:eastAsia="it-IT"/>
        </w:rPr>
        <w:t>      Judgment of 24 May 1977, Hoffmann-Laroche (107/76, EU:C:1977:89, paragraph 5); subsequently repeated in a number of other judgments, such as judgments of 2 April 2009, Pedro IV Servicios (C</w:t>
      </w:r>
      <w:r w:rsidRPr="00807A92">
        <w:rPr>
          <w:rFonts w:ascii="Times New Roman" w:eastAsia="Times New Roman" w:hAnsi="Times New Roman" w:cs="Times New Roman"/>
          <w:sz w:val="24"/>
          <w:szCs w:val="24"/>
          <w:lang w:eastAsia="it-IT"/>
        </w:rPr>
        <w:noBreakHyphen/>
        <w:t xml:space="preserve">260/07, EU:C:2009:215, paragraph 32 and the case-law cited); of 15 March 2017, </w:t>
      </w:r>
      <w:r w:rsidRPr="00807A92">
        <w:rPr>
          <w:rFonts w:ascii="Times New Roman" w:eastAsia="Times New Roman" w:hAnsi="Times New Roman" w:cs="Times New Roman"/>
          <w:i/>
          <w:iCs/>
          <w:sz w:val="24"/>
          <w:szCs w:val="24"/>
          <w:lang w:eastAsia="it-IT"/>
        </w:rPr>
        <w:lastRenderedPageBreak/>
        <w:t>Aquino</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3/16, EU:C:2017:209, paragraph 33 and the case-law cited); and of 4 October 2018, Commission v France (Advance payment)</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416/17, EU:C:2018:811, paragraph 109).</w:t>
      </w:r>
    </w:p>
    <w:p w14:paraId="41C7DDA9"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55153297">
          <v:rect id="_x0000_i89971" style="width:0;height:1.5pt" o:hralign="center" o:hrstd="t" o:hr="t" fillcolor="#a0a0a0" stroked="f"/>
        </w:pict>
      </w:r>
    </w:p>
    <w:bookmarkStart w:id="353" w:name="Footnote28"/>
    <w:p w14:paraId="2B8F633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"Footref28"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28</w:t>
      </w:r>
      <w:r w:rsidRPr="00807A92">
        <w:rPr>
          <w:rFonts w:ascii="Times New Roman" w:eastAsia="Times New Roman" w:hAnsi="Times New Roman" w:cs="Times New Roman"/>
          <w:sz w:val="24"/>
          <w:szCs w:val="24"/>
          <w:lang w:eastAsia="it-IT"/>
        </w:rPr>
        <w:fldChar w:fldCharType="end"/>
      </w:r>
      <w:bookmarkEnd w:id="353"/>
      <w:r w:rsidRPr="00807A92">
        <w:rPr>
          <w:rFonts w:ascii="Times New Roman" w:eastAsia="Times New Roman" w:hAnsi="Times New Roman" w:cs="Times New Roman"/>
          <w:sz w:val="24"/>
          <w:szCs w:val="24"/>
          <w:lang w:eastAsia="it-IT"/>
        </w:rPr>
        <w:t>      Judgment of 24 May 1977, Hoffmann-Laroche (107/76, EU:C:1977:89, paragraph 7).</w:t>
      </w:r>
    </w:p>
    <w:p w14:paraId="36DD8E52"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2942A1C6">
          <v:rect id="_x0000_i89972" style="width:0;height:1.5pt" o:hralign="center" o:hrstd="t" o:hr="t" fillcolor="#a0a0a0" stroked="f"/>
        </w:pict>
      </w:r>
    </w:p>
    <w:bookmarkStart w:id="354" w:name="Footnote29"/>
    <w:p w14:paraId="6CA99DC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"Footref29"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29</w:t>
      </w:r>
      <w:r w:rsidRPr="00807A92">
        <w:rPr>
          <w:rFonts w:ascii="Times New Roman" w:eastAsia="Times New Roman" w:hAnsi="Times New Roman" w:cs="Times New Roman"/>
          <w:sz w:val="24"/>
          <w:szCs w:val="24"/>
          <w:lang w:eastAsia="it-IT"/>
        </w:rPr>
        <w:fldChar w:fldCharType="end"/>
      </w:r>
      <w:bookmarkEnd w:id="354"/>
      <w:r w:rsidRPr="00807A92">
        <w:rPr>
          <w:rFonts w:ascii="Times New Roman" w:eastAsia="Times New Roman" w:hAnsi="Times New Roman" w:cs="Times New Roman"/>
          <w:sz w:val="24"/>
          <w:szCs w:val="24"/>
          <w:lang w:eastAsia="it-IT"/>
        </w:rPr>
        <w:t>      See, for example, judgment of 15 March 2017, Aquino (C</w:t>
      </w:r>
      <w:r w:rsidRPr="00807A92">
        <w:rPr>
          <w:rFonts w:ascii="Times New Roman" w:eastAsia="Times New Roman" w:hAnsi="Times New Roman" w:cs="Times New Roman"/>
          <w:sz w:val="24"/>
          <w:szCs w:val="24"/>
          <w:lang w:eastAsia="it-IT"/>
        </w:rPr>
        <w:noBreakHyphen/>
        <w:t>3/16, EU:C:2017:209, paragraph 34).</w:t>
      </w:r>
    </w:p>
    <w:p w14:paraId="4215D745"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C44F760">
          <v:rect id="_x0000_i89973" style="width:0;height:1.5pt" o:hralign="center" o:hrstd="t" o:hr="t" fillcolor="#a0a0a0" stroked="f"/>
        </w:pict>
      </w:r>
    </w:p>
    <w:bookmarkStart w:id="355" w:name="Footnote30"/>
    <w:p w14:paraId="5AF04A1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"Footref30"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30</w:t>
      </w:r>
      <w:r w:rsidRPr="00807A92">
        <w:rPr>
          <w:rFonts w:ascii="Times New Roman" w:eastAsia="Times New Roman" w:hAnsi="Times New Roman" w:cs="Times New Roman"/>
          <w:sz w:val="24"/>
          <w:szCs w:val="24"/>
          <w:lang w:eastAsia="it-IT"/>
        </w:rPr>
        <w:fldChar w:fldCharType="end"/>
      </w:r>
      <w:bookmarkEnd w:id="355"/>
      <w:r w:rsidRPr="00807A92">
        <w:rPr>
          <w:rFonts w:ascii="Times New Roman" w:eastAsia="Times New Roman" w:hAnsi="Times New Roman" w:cs="Times New Roman"/>
          <w:sz w:val="24"/>
          <w:szCs w:val="24"/>
          <w:lang w:eastAsia="it-IT"/>
        </w:rPr>
        <w:t>      For example, judgment of 24 May 1977, Hoffmann-Laroche (107/76, EU:C:1977:89, paragraph 5) or the Court of Justice of the European Union, Recommendations to national courts and tribunals in relation to the initiation of preliminary ruling proceedings (OJ 2019 C 380, p. 1, paragraph 1).</w:t>
      </w:r>
    </w:p>
    <w:p w14:paraId="4F57D80E"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CD324E4">
          <v:rect id="_x0000_i89974" style="width:0;height:1.5pt" o:hralign="center" o:hrstd="t" o:hr="t" fillcolor="#a0a0a0" stroked="f"/>
        </w:pict>
      </w:r>
    </w:p>
    <w:bookmarkStart w:id="356" w:name="Footnote31"/>
    <w:p w14:paraId="780880A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"Footref31"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31</w:t>
      </w:r>
      <w:r w:rsidRPr="00807A92">
        <w:rPr>
          <w:rFonts w:ascii="Times New Roman" w:eastAsia="Times New Roman" w:hAnsi="Times New Roman" w:cs="Times New Roman"/>
          <w:sz w:val="24"/>
          <w:szCs w:val="24"/>
          <w:lang w:eastAsia="it-IT"/>
        </w:rPr>
        <w:fldChar w:fldCharType="end"/>
      </w:r>
      <w:bookmarkEnd w:id="356"/>
      <w:r w:rsidRPr="00807A92">
        <w:rPr>
          <w:rFonts w:ascii="Times New Roman" w:eastAsia="Times New Roman" w:hAnsi="Times New Roman" w:cs="Times New Roman"/>
          <w:sz w:val="24"/>
          <w:szCs w:val="24"/>
          <w:lang w:eastAsia="it-IT"/>
        </w:rPr>
        <w:t>      For example, judgment of 6 October 1982, CILFIT and Others (283/81, EU:C:1982:335, paragraph 7), and Opinion 1/09 (Agreement creating a Unified Patent Litigation System</w:t>
      </w:r>
      <w:r w:rsidRPr="00807A92">
        <w:rPr>
          <w:rFonts w:ascii="Times New Roman" w:eastAsia="Times New Roman" w:hAnsi="Times New Roman" w:cs="Times New Roman"/>
          <w:i/>
          <w:iCs/>
          <w:sz w:val="24"/>
          <w:szCs w:val="24"/>
          <w:lang w:eastAsia="it-IT"/>
        </w:rPr>
        <w:t>)</w:t>
      </w:r>
      <w:r w:rsidRPr="00807A92">
        <w:rPr>
          <w:rFonts w:ascii="Times New Roman" w:eastAsia="Times New Roman" w:hAnsi="Times New Roman" w:cs="Times New Roman"/>
          <w:sz w:val="24"/>
          <w:szCs w:val="24"/>
          <w:lang w:eastAsia="it-IT"/>
        </w:rPr>
        <w:t xml:space="preserve"> of 8 March 2011 (EU:C:2011:123, paragraph 84). </w:t>
      </w:r>
    </w:p>
    <w:p w14:paraId="793C7243"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B3B4B51">
          <v:rect id="_x0000_i89975" style="width:0;height:1.5pt" o:hralign="center" o:hrstd="t" o:hr="t" fillcolor="#a0a0a0" stroked="f"/>
        </w:pict>
      </w:r>
    </w:p>
    <w:bookmarkStart w:id="357" w:name="Footnote32"/>
    <w:p w14:paraId="1EF86E4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"Footref32"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32</w:t>
      </w:r>
      <w:r w:rsidRPr="00807A92">
        <w:rPr>
          <w:rFonts w:ascii="Times New Roman" w:eastAsia="Times New Roman" w:hAnsi="Times New Roman" w:cs="Times New Roman"/>
          <w:sz w:val="24"/>
          <w:szCs w:val="24"/>
          <w:lang w:eastAsia="it-IT"/>
        </w:rPr>
        <w:fldChar w:fldCharType="end"/>
      </w:r>
      <w:bookmarkEnd w:id="357"/>
      <w:r w:rsidRPr="00807A92">
        <w:rPr>
          <w:rFonts w:ascii="Times New Roman" w:eastAsia="Times New Roman" w:hAnsi="Times New Roman" w:cs="Times New Roman"/>
          <w:sz w:val="24"/>
          <w:szCs w:val="24"/>
          <w:lang w:eastAsia="it-IT"/>
        </w:rPr>
        <w:t>      For example, judgments of 21 December 2011, Air Transport Association of America and Others (C</w:t>
      </w:r>
      <w:r w:rsidRPr="00807A92">
        <w:rPr>
          <w:rFonts w:ascii="Times New Roman" w:eastAsia="Times New Roman" w:hAnsi="Times New Roman" w:cs="Times New Roman"/>
          <w:sz w:val="24"/>
          <w:szCs w:val="24"/>
          <w:lang w:eastAsia="it-IT"/>
        </w:rPr>
        <w:noBreakHyphen/>
        <w:t>366/10, EU:C:2011:864, paragraph 47), and of 28 March 2017, Rosneft (C</w:t>
      </w:r>
      <w:r w:rsidRPr="00807A92">
        <w:rPr>
          <w:rFonts w:ascii="Times New Roman" w:eastAsia="Times New Roman" w:hAnsi="Times New Roman" w:cs="Times New Roman"/>
          <w:sz w:val="24"/>
          <w:szCs w:val="24"/>
          <w:lang w:eastAsia="it-IT"/>
        </w:rPr>
        <w:noBreakHyphen/>
        <w:t>72/15, EU:C:2017:236, paragraph 80).</w:t>
      </w:r>
    </w:p>
    <w:p w14:paraId="3BAA551B"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CC55272">
          <v:rect id="_x0000_i89976" style="width:0;height:1.5pt" o:hralign="center" o:hrstd="t" o:hr="t" fillcolor="#a0a0a0" stroked="f"/>
        </w:pict>
      </w:r>
    </w:p>
    <w:bookmarkStart w:id="358" w:name="Footnote33"/>
    <w:p w14:paraId="108FCE1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"Footref33"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33</w:t>
      </w:r>
      <w:r w:rsidRPr="00807A92">
        <w:rPr>
          <w:rFonts w:ascii="Times New Roman" w:eastAsia="Times New Roman" w:hAnsi="Times New Roman" w:cs="Times New Roman"/>
          <w:sz w:val="24"/>
          <w:szCs w:val="24"/>
          <w:lang w:eastAsia="it-IT"/>
        </w:rPr>
        <w:fldChar w:fldCharType="end"/>
      </w:r>
      <w:bookmarkEnd w:id="358"/>
      <w:r w:rsidRPr="00807A92">
        <w:rPr>
          <w:rFonts w:ascii="Times New Roman" w:eastAsia="Times New Roman" w:hAnsi="Times New Roman" w:cs="Times New Roman"/>
          <w:sz w:val="24"/>
          <w:szCs w:val="24"/>
          <w:lang w:eastAsia="it-IT"/>
        </w:rPr>
        <w:t xml:space="preserve">      Judgment of 6 October 1982, CILFIT and Others (283/81, EU:C:1982:335, paragraph 7). </w:t>
      </w:r>
    </w:p>
    <w:p w14:paraId="77E1332C"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8F8A817">
          <v:rect id="_x0000_i89977" style="width:0;height:1.5pt" o:hralign="center" o:hrstd="t" o:hr="t" fillcolor="#a0a0a0" stroked="f"/>
        </w:pict>
      </w:r>
    </w:p>
    <w:bookmarkStart w:id="359" w:name="Footnote34"/>
    <w:p w14:paraId="1575066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"Footref34"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34</w:t>
      </w:r>
      <w:r w:rsidRPr="00807A92">
        <w:rPr>
          <w:rFonts w:ascii="Times New Roman" w:eastAsia="Times New Roman" w:hAnsi="Times New Roman" w:cs="Times New Roman"/>
          <w:sz w:val="24"/>
          <w:szCs w:val="24"/>
          <w:lang w:eastAsia="it-IT"/>
        </w:rPr>
        <w:fldChar w:fldCharType="end"/>
      </w:r>
      <w:bookmarkEnd w:id="359"/>
      <w:r w:rsidRPr="00807A92">
        <w:rPr>
          <w:rFonts w:ascii="Times New Roman" w:eastAsia="Times New Roman" w:hAnsi="Times New Roman" w:cs="Times New Roman"/>
          <w:sz w:val="24"/>
          <w:szCs w:val="24"/>
          <w:lang w:eastAsia="it-IT"/>
        </w:rPr>
        <w:t xml:space="preserve">      Ibid., paragraph 10. My emphasis. </w:t>
      </w:r>
    </w:p>
    <w:p w14:paraId="4582D0EB"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65581E6">
          <v:rect id="_x0000_i89978" style="width:0;height:1.5pt" o:hralign="center" o:hrstd="t" o:hr="t" fillcolor="#a0a0a0" stroked="f"/>
        </w:pict>
      </w:r>
    </w:p>
    <w:bookmarkStart w:id="360" w:name="Footnote35"/>
    <w:p w14:paraId="46958FC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"Footref35"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35</w:t>
      </w:r>
      <w:r w:rsidRPr="00807A92">
        <w:rPr>
          <w:rFonts w:ascii="Times New Roman" w:eastAsia="Times New Roman" w:hAnsi="Times New Roman" w:cs="Times New Roman"/>
          <w:sz w:val="24"/>
          <w:szCs w:val="24"/>
          <w:lang w:eastAsia="it-IT"/>
        </w:rPr>
        <w:fldChar w:fldCharType="end"/>
      </w:r>
      <w:bookmarkEnd w:id="360"/>
      <w:r w:rsidRPr="00807A92">
        <w:rPr>
          <w:rFonts w:ascii="Times New Roman" w:eastAsia="Times New Roman" w:hAnsi="Times New Roman" w:cs="Times New Roman"/>
          <w:sz w:val="24"/>
          <w:szCs w:val="24"/>
          <w:lang w:eastAsia="it-IT"/>
        </w:rPr>
        <w:t>      For a recent example, see judgment of 26 March 2020, Miasto Łowicz and Prokurator Generalny (C</w:t>
      </w:r>
      <w:r w:rsidRPr="00807A92">
        <w:rPr>
          <w:rFonts w:ascii="Times New Roman" w:eastAsia="Times New Roman" w:hAnsi="Times New Roman" w:cs="Times New Roman"/>
          <w:sz w:val="24"/>
          <w:szCs w:val="24"/>
          <w:lang w:eastAsia="it-IT"/>
        </w:rPr>
        <w:noBreakHyphen/>
        <w:t>558/18 and C</w:t>
      </w:r>
      <w:r w:rsidRPr="00807A92">
        <w:rPr>
          <w:rFonts w:ascii="Times New Roman" w:eastAsia="Times New Roman" w:hAnsi="Times New Roman" w:cs="Times New Roman"/>
          <w:sz w:val="24"/>
          <w:szCs w:val="24"/>
          <w:lang w:eastAsia="it-IT"/>
        </w:rPr>
        <w:noBreakHyphen/>
        <w:t>563/18, EU:C:2020:234).</w:t>
      </w:r>
    </w:p>
    <w:p w14:paraId="72B8A46B"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9654506">
          <v:rect id="_x0000_i89979" style="width:0;height:1.5pt" o:hralign="center" o:hrstd="t" o:hr="t" fillcolor="#a0a0a0" stroked="f"/>
        </w:pict>
      </w:r>
    </w:p>
    <w:bookmarkStart w:id="361" w:name="Footnote36"/>
    <w:p w14:paraId="30889DC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"Footref36"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36</w:t>
      </w:r>
      <w:r w:rsidRPr="00807A92">
        <w:rPr>
          <w:rFonts w:ascii="Times New Roman" w:eastAsia="Times New Roman" w:hAnsi="Times New Roman" w:cs="Times New Roman"/>
          <w:sz w:val="24"/>
          <w:szCs w:val="24"/>
          <w:lang w:eastAsia="it-IT"/>
        </w:rPr>
        <w:fldChar w:fldCharType="end"/>
      </w:r>
      <w:bookmarkEnd w:id="361"/>
      <w:r w:rsidRPr="00807A92">
        <w:rPr>
          <w:rFonts w:ascii="Times New Roman" w:eastAsia="Times New Roman" w:hAnsi="Times New Roman" w:cs="Times New Roman"/>
          <w:sz w:val="24"/>
          <w:szCs w:val="24"/>
          <w:lang w:eastAsia="it-IT"/>
        </w:rPr>
        <w:t xml:space="preserve">      Judgment of 6 October 1982, CILFIT and Others (283/81, EU:C:1982:335, paragraph 13). </w:t>
      </w:r>
    </w:p>
    <w:p w14:paraId="0418926A"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D15C362">
          <v:rect id="_x0000_i89980" style="width:0;height:1.5pt" o:hralign="center" o:hrstd="t" o:hr="t" fillcolor="#a0a0a0" stroked="f"/>
        </w:pict>
      </w:r>
    </w:p>
    <w:bookmarkStart w:id="362" w:name="Footnote37"/>
    <w:p w14:paraId="3DB5A0C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"Footref37"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37</w:t>
      </w:r>
      <w:r w:rsidRPr="00807A92">
        <w:rPr>
          <w:rFonts w:ascii="Times New Roman" w:eastAsia="Times New Roman" w:hAnsi="Times New Roman" w:cs="Times New Roman"/>
          <w:sz w:val="24"/>
          <w:szCs w:val="24"/>
          <w:lang w:eastAsia="it-IT"/>
        </w:rPr>
        <w:fldChar w:fldCharType="end"/>
      </w:r>
      <w:bookmarkEnd w:id="362"/>
      <w:r w:rsidRPr="00807A92">
        <w:rPr>
          <w:rFonts w:ascii="Times New Roman" w:eastAsia="Times New Roman" w:hAnsi="Times New Roman" w:cs="Times New Roman"/>
          <w:sz w:val="24"/>
          <w:szCs w:val="24"/>
          <w:lang w:eastAsia="it-IT"/>
        </w:rPr>
        <w:t>      Ibid., paragraph 14.</w:t>
      </w:r>
    </w:p>
    <w:p w14:paraId="7BE6F6CB"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pict w14:anchorId="56F55606">
          <v:rect id="_x0000_i89981" style="width:0;height:1.5pt" o:hralign="center" o:hrstd="t" o:hr="t" fillcolor="#a0a0a0" stroked="f"/>
        </w:pict>
      </w:r>
    </w:p>
    <w:bookmarkStart w:id="363" w:name="Footnote38"/>
    <w:p w14:paraId="6696C28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"Footref38"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38</w:t>
      </w:r>
      <w:r w:rsidRPr="00807A92">
        <w:rPr>
          <w:rFonts w:ascii="Times New Roman" w:eastAsia="Times New Roman" w:hAnsi="Times New Roman" w:cs="Times New Roman"/>
          <w:sz w:val="24"/>
          <w:szCs w:val="24"/>
          <w:lang w:eastAsia="it-IT"/>
        </w:rPr>
        <w:fldChar w:fldCharType="end"/>
      </w:r>
      <w:bookmarkEnd w:id="363"/>
      <w:r w:rsidRPr="00807A92">
        <w:rPr>
          <w:rFonts w:ascii="Times New Roman" w:eastAsia="Times New Roman" w:hAnsi="Times New Roman" w:cs="Times New Roman"/>
          <w:sz w:val="24"/>
          <w:szCs w:val="24"/>
          <w:lang w:eastAsia="it-IT"/>
        </w:rPr>
        <w:t>      Judgment of 27 March 1963, Da Costa and Others (28/62 to 30/62, EU:C:1963:6, page 38).</w:t>
      </w:r>
    </w:p>
    <w:p w14:paraId="40B1ADC1"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CF212B4">
          <v:rect id="_x0000_i89982" style="width:0;height:1.5pt" o:hralign="center" o:hrstd="t" o:hr="t" fillcolor="#a0a0a0" stroked="f"/>
        </w:pict>
      </w:r>
    </w:p>
    <w:bookmarkStart w:id="364" w:name="Footnote39"/>
    <w:p w14:paraId="7B63907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"Footref39"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39</w:t>
      </w:r>
      <w:r w:rsidRPr="00807A92">
        <w:rPr>
          <w:rFonts w:ascii="Times New Roman" w:eastAsia="Times New Roman" w:hAnsi="Times New Roman" w:cs="Times New Roman"/>
          <w:sz w:val="24"/>
          <w:szCs w:val="24"/>
          <w:lang w:eastAsia="it-IT"/>
        </w:rPr>
        <w:fldChar w:fldCharType="end"/>
      </w:r>
      <w:bookmarkEnd w:id="364"/>
      <w:r w:rsidRPr="00807A92">
        <w:rPr>
          <w:rFonts w:ascii="Times New Roman" w:eastAsia="Times New Roman" w:hAnsi="Times New Roman" w:cs="Times New Roman"/>
          <w:sz w:val="24"/>
          <w:szCs w:val="24"/>
          <w:lang w:eastAsia="it-IT"/>
        </w:rPr>
        <w:t>      Judgment of 6 October 1982, CILFIT and Others (283/81, EU:C:1982:335, paragraph 16).</w:t>
      </w:r>
    </w:p>
    <w:p w14:paraId="35AB0146"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DC433CC">
          <v:rect id="_x0000_i89983" style="width:0;height:1.5pt" o:hralign="center" o:hrstd="t" o:hr="t" fillcolor="#a0a0a0" stroked="f"/>
        </w:pict>
      </w:r>
    </w:p>
    <w:bookmarkStart w:id="365" w:name="Footnote40"/>
    <w:p w14:paraId="7C5CA9A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"Footref40"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40</w:t>
      </w:r>
      <w:r w:rsidRPr="00807A92">
        <w:rPr>
          <w:rFonts w:ascii="Times New Roman" w:eastAsia="Times New Roman" w:hAnsi="Times New Roman" w:cs="Times New Roman"/>
          <w:sz w:val="24"/>
          <w:szCs w:val="24"/>
          <w:lang w:eastAsia="it-IT"/>
        </w:rPr>
        <w:fldChar w:fldCharType="end"/>
      </w:r>
      <w:bookmarkEnd w:id="365"/>
      <w:r w:rsidRPr="00807A92">
        <w:rPr>
          <w:rFonts w:ascii="Times New Roman" w:eastAsia="Times New Roman" w:hAnsi="Times New Roman" w:cs="Times New Roman"/>
          <w:sz w:val="24"/>
          <w:szCs w:val="24"/>
          <w:lang w:eastAsia="it-IT"/>
        </w:rPr>
        <w:t>      Ibid., paragraph 16.</w:t>
      </w:r>
    </w:p>
    <w:p w14:paraId="09E45F1B"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B03D9A0">
          <v:rect id="_x0000_i89984" style="width:0;height:1.5pt" o:hralign="center" o:hrstd="t" o:hr="t" fillcolor="#a0a0a0" stroked="f"/>
        </w:pict>
      </w:r>
    </w:p>
    <w:bookmarkStart w:id="366" w:name="Footnote41"/>
    <w:p w14:paraId="19214B9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"Footref41"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41</w:t>
      </w:r>
      <w:r w:rsidRPr="00807A92">
        <w:rPr>
          <w:rFonts w:ascii="Times New Roman" w:eastAsia="Times New Roman" w:hAnsi="Times New Roman" w:cs="Times New Roman"/>
          <w:sz w:val="24"/>
          <w:szCs w:val="24"/>
          <w:lang w:eastAsia="it-IT"/>
        </w:rPr>
        <w:fldChar w:fldCharType="end"/>
      </w:r>
      <w:bookmarkEnd w:id="366"/>
      <w:r w:rsidRPr="00807A92">
        <w:rPr>
          <w:rFonts w:ascii="Times New Roman" w:eastAsia="Times New Roman" w:hAnsi="Times New Roman" w:cs="Times New Roman"/>
          <w:sz w:val="24"/>
          <w:szCs w:val="24"/>
          <w:lang w:eastAsia="it-IT"/>
        </w:rPr>
        <w:t xml:space="preserve">      Ibid., paragraph 18. </w:t>
      </w:r>
    </w:p>
    <w:p w14:paraId="2D5D2C28"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DC091AA">
          <v:rect id="_x0000_i89985" style="width:0;height:1.5pt" o:hralign="center" o:hrstd="t" o:hr="t" fillcolor="#a0a0a0" stroked="f"/>
        </w:pict>
      </w:r>
    </w:p>
    <w:bookmarkStart w:id="367" w:name="Footnote42"/>
    <w:p w14:paraId="6A73C7A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"Footref42"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42</w:t>
      </w:r>
      <w:r w:rsidRPr="00807A92">
        <w:rPr>
          <w:rFonts w:ascii="Times New Roman" w:eastAsia="Times New Roman" w:hAnsi="Times New Roman" w:cs="Times New Roman"/>
          <w:sz w:val="24"/>
          <w:szCs w:val="24"/>
          <w:lang w:eastAsia="it-IT"/>
        </w:rPr>
        <w:fldChar w:fldCharType="end"/>
      </w:r>
      <w:bookmarkEnd w:id="367"/>
      <w:r w:rsidRPr="00807A92">
        <w:rPr>
          <w:rFonts w:ascii="Times New Roman" w:eastAsia="Times New Roman" w:hAnsi="Times New Roman" w:cs="Times New Roman"/>
          <w:sz w:val="24"/>
          <w:szCs w:val="24"/>
          <w:lang w:eastAsia="it-IT"/>
        </w:rPr>
        <w:t xml:space="preserve">      Ibid., paragraph 19. </w:t>
      </w:r>
    </w:p>
    <w:p w14:paraId="76BE682A"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FA0E59E">
          <v:rect id="_x0000_i89986" style="width:0;height:1.5pt" o:hralign="center" o:hrstd="t" o:hr="t" fillcolor="#a0a0a0" stroked="f"/>
        </w:pict>
      </w:r>
    </w:p>
    <w:bookmarkStart w:id="368" w:name="Footnote43"/>
    <w:p w14:paraId="01AF1D0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"Footref43"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43</w:t>
      </w:r>
      <w:r w:rsidRPr="00807A92">
        <w:rPr>
          <w:rFonts w:ascii="Times New Roman" w:eastAsia="Times New Roman" w:hAnsi="Times New Roman" w:cs="Times New Roman"/>
          <w:sz w:val="24"/>
          <w:szCs w:val="24"/>
          <w:lang w:eastAsia="it-IT"/>
        </w:rPr>
        <w:fldChar w:fldCharType="end"/>
      </w:r>
      <w:bookmarkEnd w:id="368"/>
      <w:r w:rsidRPr="00807A92">
        <w:rPr>
          <w:rFonts w:ascii="Times New Roman" w:eastAsia="Times New Roman" w:hAnsi="Times New Roman" w:cs="Times New Roman"/>
          <w:sz w:val="24"/>
          <w:szCs w:val="24"/>
          <w:lang w:eastAsia="it-IT"/>
        </w:rPr>
        <w:t xml:space="preserve">      Ibid., paragraph 20. </w:t>
      </w:r>
    </w:p>
    <w:p w14:paraId="35FA5710"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5A95EDCF">
          <v:rect id="_x0000_i89987" style="width:0;height:1.5pt" o:hralign="center" o:hrstd="t" o:hr="t" fillcolor="#a0a0a0" stroked="f"/>
        </w:pict>
      </w:r>
    </w:p>
    <w:bookmarkStart w:id="369" w:name="Footnote44"/>
    <w:p w14:paraId="5FEAC46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"Footref44"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44</w:t>
      </w:r>
      <w:r w:rsidRPr="00807A92">
        <w:rPr>
          <w:rFonts w:ascii="Times New Roman" w:eastAsia="Times New Roman" w:hAnsi="Times New Roman" w:cs="Times New Roman"/>
          <w:sz w:val="24"/>
          <w:szCs w:val="24"/>
          <w:lang w:eastAsia="it-IT"/>
        </w:rPr>
        <w:fldChar w:fldCharType="end"/>
      </w:r>
      <w:bookmarkEnd w:id="369"/>
      <w:r w:rsidRPr="00807A92">
        <w:rPr>
          <w:rFonts w:ascii="Times New Roman" w:eastAsia="Times New Roman" w:hAnsi="Times New Roman" w:cs="Times New Roman"/>
          <w:sz w:val="24"/>
          <w:szCs w:val="24"/>
          <w:lang w:eastAsia="it-IT"/>
        </w:rPr>
        <w:t>      From amongst the many, see notably Rasmussen, H., ‘The European Court’s Acte Clair Strategy in C.I.L.F.I.T. Or: Acte Clair, of Course! But What does it Mean?’, 9 EL Rev</w:t>
      </w:r>
      <w:r w:rsidRPr="00807A92">
        <w:rPr>
          <w:rFonts w:ascii="Times New Roman" w:eastAsia="Times New Roman" w:hAnsi="Times New Roman" w:cs="Times New Roman"/>
          <w:i/>
          <w:iCs/>
          <w:sz w:val="24"/>
          <w:szCs w:val="24"/>
          <w:lang w:eastAsia="it-IT"/>
        </w:rPr>
        <w:t>.</w:t>
      </w:r>
      <w:r w:rsidRPr="00807A92">
        <w:rPr>
          <w:rFonts w:ascii="Times New Roman" w:eastAsia="Times New Roman" w:hAnsi="Times New Roman" w:cs="Times New Roman"/>
          <w:sz w:val="24"/>
          <w:szCs w:val="24"/>
          <w:lang w:eastAsia="it-IT"/>
        </w:rPr>
        <w:t xml:space="preserve"> (1984), p. 242; Bebr, G., ‘The Preliminary Proceedings or Article 177 EEC – Problems and Suggestions for Improvement, in Schermers, H.G., et al. (eds), </w:t>
      </w:r>
      <w:r w:rsidRPr="00807A92">
        <w:rPr>
          <w:rFonts w:ascii="Times New Roman" w:eastAsia="Times New Roman" w:hAnsi="Times New Roman" w:cs="Times New Roman"/>
          <w:i/>
          <w:iCs/>
          <w:sz w:val="24"/>
          <w:szCs w:val="24"/>
          <w:lang w:eastAsia="it-IT"/>
        </w:rPr>
        <w:t>Article 177 EEC: Experience and Problems</w:t>
      </w:r>
      <w:r w:rsidRPr="00807A92">
        <w:rPr>
          <w:rFonts w:ascii="Times New Roman" w:eastAsia="Times New Roman" w:hAnsi="Times New Roman" w:cs="Times New Roman"/>
          <w:sz w:val="24"/>
          <w:szCs w:val="24"/>
          <w:lang w:eastAsia="it-IT"/>
        </w:rPr>
        <w:t xml:space="preserve">,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 xml:space="preserve">North-Holland, Amsterdam, 1987, p. 355; Vaughan, D., ‘The Advocate’s View’, in Andenas, M., </w:t>
      </w:r>
      <w:r w:rsidRPr="00807A92">
        <w:rPr>
          <w:rFonts w:ascii="Times New Roman" w:eastAsia="Times New Roman" w:hAnsi="Times New Roman" w:cs="Times New Roman"/>
          <w:i/>
          <w:iCs/>
          <w:sz w:val="24"/>
          <w:szCs w:val="24"/>
          <w:lang w:eastAsia="it-IT"/>
        </w:rPr>
        <w:t>Article 177 References to the European Court – Policy and Practice</w:t>
      </w:r>
      <w:r w:rsidRPr="00807A92">
        <w:rPr>
          <w:rFonts w:ascii="Times New Roman" w:eastAsia="Times New Roman" w:hAnsi="Times New Roman" w:cs="Times New Roman"/>
          <w:sz w:val="24"/>
          <w:szCs w:val="24"/>
          <w:lang w:eastAsia="it-IT"/>
        </w:rPr>
        <w:t xml:space="preserve">, Butterworths, London, 1994, p. 61; Broberg, M., ‘Acte clair revisited: Adapting the acte clair criteria to the demands of times’, CMLR 45, 2008,, p. 1383; Broberg, M., and Fenger, N., </w:t>
      </w:r>
      <w:r w:rsidRPr="00807A92">
        <w:rPr>
          <w:rFonts w:ascii="Times New Roman" w:eastAsia="Times New Roman" w:hAnsi="Times New Roman" w:cs="Times New Roman"/>
          <w:i/>
          <w:iCs/>
          <w:sz w:val="24"/>
          <w:szCs w:val="24"/>
          <w:lang w:eastAsia="it-IT"/>
        </w:rPr>
        <w:t>Preliminary References to the European Court of Justice</w:t>
      </w:r>
      <w:r w:rsidRPr="00807A92">
        <w:rPr>
          <w:rFonts w:ascii="Times New Roman" w:eastAsia="Times New Roman" w:hAnsi="Times New Roman" w:cs="Times New Roman"/>
          <w:sz w:val="24"/>
          <w:szCs w:val="24"/>
          <w:lang w:eastAsia="it-IT"/>
        </w:rPr>
        <w:t xml:space="preserve">, 2nd ed., Oxford University Press, Oxford, 2014, pp. 240 to 246. </w:t>
      </w:r>
    </w:p>
    <w:p w14:paraId="4C7D67C1"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4D11184">
          <v:rect id="_x0000_i89988" style="width:0;height:1.5pt" o:hralign="center" o:hrstd="t" o:hr="t" fillcolor="#a0a0a0" stroked="f"/>
        </w:pict>
      </w:r>
    </w:p>
    <w:bookmarkStart w:id="370" w:name="Footnote45"/>
    <w:p w14:paraId="020223C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"Footref45"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45</w:t>
      </w:r>
      <w:r w:rsidRPr="00807A92">
        <w:rPr>
          <w:rFonts w:ascii="Times New Roman" w:eastAsia="Times New Roman" w:hAnsi="Times New Roman" w:cs="Times New Roman"/>
          <w:sz w:val="24"/>
          <w:szCs w:val="24"/>
          <w:lang w:eastAsia="it-IT"/>
        </w:rPr>
        <w:fldChar w:fldCharType="end"/>
      </w:r>
      <w:bookmarkEnd w:id="370"/>
      <w:r w:rsidRPr="00807A92">
        <w:rPr>
          <w:rFonts w:ascii="Times New Roman" w:eastAsia="Times New Roman" w:hAnsi="Times New Roman" w:cs="Times New Roman"/>
          <w:sz w:val="24"/>
          <w:szCs w:val="24"/>
          <w:lang w:eastAsia="it-IT"/>
        </w:rPr>
        <w:t xml:space="preserve">      See already, for example, the national judicial views in Schermers, H.G., et al. (eds), </w:t>
      </w:r>
      <w:r w:rsidRPr="00807A92">
        <w:rPr>
          <w:rFonts w:ascii="Times New Roman" w:eastAsia="Times New Roman" w:hAnsi="Times New Roman" w:cs="Times New Roman"/>
          <w:i/>
          <w:iCs/>
          <w:sz w:val="24"/>
          <w:szCs w:val="24"/>
          <w:lang w:eastAsia="it-IT"/>
        </w:rPr>
        <w:t>Article 177 EEC: Experience and Problems</w:t>
      </w:r>
      <w:r w:rsidRPr="00807A92">
        <w:rPr>
          <w:rFonts w:ascii="Times New Roman" w:eastAsia="Times New Roman" w:hAnsi="Times New Roman" w:cs="Times New Roman"/>
          <w:sz w:val="24"/>
          <w:szCs w:val="24"/>
          <w:lang w:eastAsia="it-IT"/>
        </w:rPr>
        <w:t xml:space="preserve">, North-Holland, Amsterdam, 1987, pp. 53 to 134; General report to the 18th Colloquium of the Association of the Councils of State and Supreme Administrative Jurisdictions of the European Union in Helsinki, 20 and 21 May 2002, on the subject ‘The Preliminary Reference to the Court of Justice of the European Communities’, pp. 28 and 29; see also Wattel, P. J., ‘Köbler, CILFIT and Welthgrove: We can't go on meeting like this’ CMLR 41, 2004, p. 177. </w:t>
      </w:r>
    </w:p>
    <w:p w14:paraId="2722E913"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2399BD56">
          <v:rect id="_x0000_i89989" style="width:0;height:1.5pt" o:hralign="center" o:hrstd="t" o:hr="t" fillcolor="#a0a0a0" stroked="f"/>
        </w:pict>
      </w:r>
    </w:p>
    <w:bookmarkStart w:id="371" w:name="Footnote46"/>
    <w:p w14:paraId="015453B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"Footref46"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46</w:t>
      </w:r>
      <w:r w:rsidRPr="00807A92">
        <w:rPr>
          <w:rFonts w:ascii="Times New Roman" w:eastAsia="Times New Roman" w:hAnsi="Times New Roman" w:cs="Times New Roman"/>
          <w:sz w:val="24"/>
          <w:szCs w:val="24"/>
          <w:lang w:eastAsia="it-IT"/>
        </w:rPr>
        <w:fldChar w:fldCharType="end"/>
      </w:r>
      <w:bookmarkEnd w:id="371"/>
      <w:r w:rsidRPr="00807A92">
        <w:rPr>
          <w:rFonts w:ascii="Times New Roman" w:eastAsia="Times New Roman" w:hAnsi="Times New Roman" w:cs="Times New Roman"/>
          <w:sz w:val="24"/>
          <w:szCs w:val="24"/>
          <w:lang w:eastAsia="it-IT"/>
        </w:rPr>
        <w:t xml:space="preserve">      To borrow the expression recently used by Advocate General Wahl in Joined Cases </w:t>
      </w:r>
      <w:r w:rsidRPr="00807A92">
        <w:rPr>
          <w:rFonts w:ascii="Times New Roman" w:eastAsia="Times New Roman" w:hAnsi="Times New Roman" w:cs="Times New Roman"/>
          <w:i/>
          <w:iCs/>
          <w:sz w:val="24"/>
          <w:szCs w:val="24"/>
          <w:lang w:eastAsia="it-IT"/>
        </w:rPr>
        <w:t>X and van Dijk</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72/14 and C</w:t>
      </w:r>
      <w:r w:rsidRPr="00807A92">
        <w:rPr>
          <w:rFonts w:ascii="Times New Roman" w:eastAsia="Times New Roman" w:hAnsi="Times New Roman" w:cs="Times New Roman"/>
          <w:sz w:val="24"/>
          <w:szCs w:val="24"/>
          <w:lang w:eastAsia="it-IT"/>
        </w:rPr>
        <w:noBreakHyphen/>
        <w:t xml:space="preserve">197/14, EU:C:2015:319, point 67). </w:t>
      </w:r>
    </w:p>
    <w:p w14:paraId="1B1BC3AF"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pict w14:anchorId="5C01518D">
          <v:rect id="_x0000_i89990" style="width:0;height:1.5pt" o:hralign="center" o:hrstd="t" o:hr="t" fillcolor="#a0a0a0" stroked="f"/>
        </w:pict>
      </w:r>
    </w:p>
    <w:bookmarkStart w:id="372" w:name="Footnote47"/>
    <w:p w14:paraId="132ED94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"Footref47"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47</w:t>
      </w:r>
      <w:r w:rsidRPr="00807A92">
        <w:rPr>
          <w:rFonts w:ascii="Times New Roman" w:eastAsia="Times New Roman" w:hAnsi="Times New Roman" w:cs="Times New Roman"/>
          <w:sz w:val="24"/>
          <w:szCs w:val="24"/>
          <w:lang w:eastAsia="it-IT"/>
        </w:rPr>
        <w:fldChar w:fldCharType="end"/>
      </w:r>
      <w:bookmarkEnd w:id="372"/>
      <w:r w:rsidRPr="00807A92">
        <w:rPr>
          <w:rFonts w:ascii="Times New Roman" w:eastAsia="Times New Roman" w:hAnsi="Times New Roman" w:cs="Times New Roman"/>
          <w:sz w:val="24"/>
          <w:szCs w:val="24"/>
          <w:lang w:eastAsia="it-IT"/>
        </w:rPr>
        <w:t>      Judgment of 15 September 2005, Intermodal Transports (C</w:t>
      </w:r>
      <w:r w:rsidRPr="00807A92">
        <w:rPr>
          <w:rFonts w:ascii="Times New Roman" w:eastAsia="Times New Roman" w:hAnsi="Times New Roman" w:cs="Times New Roman"/>
          <w:sz w:val="24"/>
          <w:szCs w:val="24"/>
          <w:lang w:eastAsia="it-IT"/>
        </w:rPr>
        <w:noBreakHyphen/>
        <w:t>495/03, EU:C:2005:552).</w:t>
      </w:r>
    </w:p>
    <w:p w14:paraId="07517F4D"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9A268BD">
          <v:rect id="_x0000_i89991" style="width:0;height:1.5pt" o:hralign="center" o:hrstd="t" o:hr="t" fillcolor="#a0a0a0" stroked="f"/>
        </w:pict>
      </w:r>
    </w:p>
    <w:bookmarkStart w:id="373" w:name="Footnote48"/>
    <w:p w14:paraId="5C8D5F4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"Footref48"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48</w:t>
      </w:r>
      <w:r w:rsidRPr="00807A92">
        <w:rPr>
          <w:rFonts w:ascii="Times New Roman" w:eastAsia="Times New Roman" w:hAnsi="Times New Roman" w:cs="Times New Roman"/>
          <w:sz w:val="24"/>
          <w:szCs w:val="24"/>
          <w:lang w:eastAsia="it-IT"/>
        </w:rPr>
        <w:fldChar w:fldCharType="end"/>
      </w:r>
      <w:bookmarkEnd w:id="373"/>
      <w:r w:rsidRPr="00807A92">
        <w:rPr>
          <w:rFonts w:ascii="Times New Roman" w:eastAsia="Times New Roman" w:hAnsi="Times New Roman" w:cs="Times New Roman"/>
          <w:sz w:val="24"/>
          <w:szCs w:val="24"/>
          <w:lang w:eastAsia="it-IT"/>
        </w:rPr>
        <w:t>      Ibid., paragraph 34.</w:t>
      </w:r>
    </w:p>
    <w:p w14:paraId="368D5F74"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2698DE53">
          <v:rect id="_x0000_i89992" style="width:0;height:1.5pt" o:hralign="center" o:hrstd="t" o:hr="t" fillcolor="#a0a0a0" stroked="f"/>
        </w:pict>
      </w:r>
    </w:p>
    <w:bookmarkStart w:id="374" w:name="Footnote49"/>
    <w:p w14:paraId="6893C4E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"Footref49"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49</w:t>
      </w:r>
      <w:r w:rsidRPr="00807A92">
        <w:rPr>
          <w:rFonts w:ascii="Times New Roman" w:eastAsia="Times New Roman" w:hAnsi="Times New Roman" w:cs="Times New Roman"/>
          <w:sz w:val="24"/>
          <w:szCs w:val="24"/>
          <w:lang w:eastAsia="it-IT"/>
        </w:rPr>
        <w:fldChar w:fldCharType="end"/>
      </w:r>
      <w:bookmarkEnd w:id="374"/>
      <w:r w:rsidRPr="00807A92">
        <w:rPr>
          <w:rFonts w:ascii="Times New Roman" w:eastAsia="Times New Roman" w:hAnsi="Times New Roman" w:cs="Times New Roman"/>
          <w:sz w:val="24"/>
          <w:szCs w:val="24"/>
          <w:lang w:eastAsia="it-IT"/>
        </w:rPr>
        <w:t xml:space="preserve">      Ibid., paragraph 35. </w:t>
      </w:r>
    </w:p>
    <w:p w14:paraId="07F58AA4"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5195CA74">
          <v:rect id="_x0000_i89993" style="width:0;height:1.5pt" o:hralign="center" o:hrstd="t" o:hr="t" fillcolor="#a0a0a0" stroked="f"/>
        </w:pict>
      </w:r>
    </w:p>
    <w:bookmarkStart w:id="375" w:name="Footnote50"/>
    <w:p w14:paraId="71D47C4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"Footref50"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50</w:t>
      </w:r>
      <w:r w:rsidRPr="00807A92">
        <w:rPr>
          <w:rFonts w:ascii="Times New Roman" w:eastAsia="Times New Roman" w:hAnsi="Times New Roman" w:cs="Times New Roman"/>
          <w:sz w:val="24"/>
          <w:szCs w:val="24"/>
          <w:lang w:eastAsia="it-IT"/>
        </w:rPr>
        <w:fldChar w:fldCharType="end"/>
      </w:r>
      <w:bookmarkEnd w:id="375"/>
      <w:r w:rsidRPr="00807A92">
        <w:rPr>
          <w:rFonts w:ascii="Times New Roman" w:eastAsia="Times New Roman" w:hAnsi="Times New Roman" w:cs="Times New Roman"/>
          <w:sz w:val="24"/>
          <w:szCs w:val="24"/>
          <w:lang w:eastAsia="it-IT"/>
        </w:rPr>
        <w:t>      Judgment of 9 September 2015 (C</w:t>
      </w:r>
      <w:r w:rsidRPr="00807A92">
        <w:rPr>
          <w:rFonts w:ascii="Times New Roman" w:eastAsia="Times New Roman" w:hAnsi="Times New Roman" w:cs="Times New Roman"/>
          <w:sz w:val="24"/>
          <w:szCs w:val="24"/>
          <w:lang w:eastAsia="it-IT"/>
        </w:rPr>
        <w:noBreakHyphen/>
        <w:t>72/14 and C</w:t>
      </w:r>
      <w:r w:rsidRPr="00807A92">
        <w:rPr>
          <w:rFonts w:ascii="Times New Roman" w:eastAsia="Times New Roman" w:hAnsi="Times New Roman" w:cs="Times New Roman"/>
          <w:sz w:val="24"/>
          <w:szCs w:val="24"/>
          <w:lang w:eastAsia="it-IT"/>
        </w:rPr>
        <w:noBreakHyphen/>
        <w:t>197/14, EU:C:2015:564).</w:t>
      </w:r>
    </w:p>
    <w:p w14:paraId="7FB1CE84"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A8495BC">
          <v:rect id="_x0000_i89994" style="width:0;height:1.5pt" o:hralign="center" o:hrstd="t" o:hr="t" fillcolor="#a0a0a0" stroked="f"/>
        </w:pict>
      </w:r>
    </w:p>
    <w:bookmarkStart w:id="376" w:name="Footnote51"/>
    <w:p w14:paraId="634CACD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"Footref51"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51</w:t>
      </w:r>
      <w:r w:rsidRPr="00807A92">
        <w:rPr>
          <w:rFonts w:ascii="Times New Roman" w:eastAsia="Times New Roman" w:hAnsi="Times New Roman" w:cs="Times New Roman"/>
          <w:sz w:val="24"/>
          <w:szCs w:val="24"/>
          <w:lang w:eastAsia="it-IT"/>
        </w:rPr>
        <w:fldChar w:fldCharType="end"/>
      </w:r>
      <w:bookmarkEnd w:id="376"/>
      <w:r w:rsidRPr="00807A92">
        <w:rPr>
          <w:rFonts w:ascii="Times New Roman" w:eastAsia="Times New Roman" w:hAnsi="Times New Roman" w:cs="Times New Roman"/>
          <w:sz w:val="24"/>
          <w:szCs w:val="24"/>
          <w:lang w:eastAsia="it-IT"/>
        </w:rPr>
        <w:t>      Ibid., paragraph 59.</w:t>
      </w:r>
    </w:p>
    <w:p w14:paraId="0F8F9CEF"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B714615">
          <v:rect id="_x0000_i89995" style="width:0;height:1.5pt" o:hralign="center" o:hrstd="t" o:hr="t" fillcolor="#a0a0a0" stroked="f"/>
        </w:pict>
      </w:r>
    </w:p>
    <w:bookmarkStart w:id="377" w:name="Footnote52"/>
    <w:p w14:paraId="138434B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"Footref52"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52</w:t>
      </w:r>
      <w:r w:rsidRPr="00807A92">
        <w:rPr>
          <w:rFonts w:ascii="Times New Roman" w:eastAsia="Times New Roman" w:hAnsi="Times New Roman" w:cs="Times New Roman"/>
          <w:sz w:val="24"/>
          <w:szCs w:val="24"/>
          <w:lang w:eastAsia="it-IT"/>
        </w:rPr>
        <w:fldChar w:fldCharType="end"/>
      </w:r>
      <w:bookmarkEnd w:id="377"/>
      <w:r w:rsidRPr="00807A92">
        <w:rPr>
          <w:rFonts w:ascii="Times New Roman" w:eastAsia="Times New Roman" w:hAnsi="Times New Roman" w:cs="Times New Roman"/>
          <w:sz w:val="24"/>
          <w:szCs w:val="24"/>
          <w:lang w:eastAsia="it-IT"/>
        </w:rPr>
        <w:t>      Ibid., paragraph 61. My emphasis.</w:t>
      </w:r>
    </w:p>
    <w:p w14:paraId="51E76403"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539A65F9">
          <v:rect id="_x0000_i89996" style="width:0;height:1.5pt" o:hralign="center" o:hrstd="t" o:hr="t" fillcolor="#a0a0a0" stroked="f"/>
        </w:pict>
      </w:r>
    </w:p>
    <w:bookmarkStart w:id="378" w:name="Footnote53"/>
    <w:p w14:paraId="34F4B9E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"Footref53"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53</w:t>
      </w:r>
      <w:r w:rsidRPr="00807A92">
        <w:rPr>
          <w:rFonts w:ascii="Times New Roman" w:eastAsia="Times New Roman" w:hAnsi="Times New Roman" w:cs="Times New Roman"/>
          <w:sz w:val="24"/>
          <w:szCs w:val="24"/>
          <w:lang w:eastAsia="it-IT"/>
        </w:rPr>
        <w:fldChar w:fldCharType="end"/>
      </w:r>
      <w:bookmarkEnd w:id="378"/>
      <w:r w:rsidRPr="00807A92">
        <w:rPr>
          <w:rFonts w:ascii="Times New Roman" w:eastAsia="Times New Roman" w:hAnsi="Times New Roman" w:cs="Times New Roman"/>
          <w:sz w:val="24"/>
          <w:szCs w:val="24"/>
          <w:lang w:eastAsia="it-IT"/>
        </w:rPr>
        <w:t>      Judgment of 9 September 2015, Ferreira da Silva e Brito and Others (C</w:t>
      </w:r>
      <w:r w:rsidRPr="00807A92">
        <w:rPr>
          <w:rFonts w:ascii="Times New Roman" w:eastAsia="Times New Roman" w:hAnsi="Times New Roman" w:cs="Times New Roman"/>
          <w:sz w:val="24"/>
          <w:szCs w:val="24"/>
          <w:lang w:eastAsia="it-IT"/>
        </w:rPr>
        <w:noBreakHyphen/>
        <w:t>160/14, EU:C:2015:565).</w:t>
      </w:r>
    </w:p>
    <w:p w14:paraId="2B8BD112"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6546F332">
          <v:rect id="_x0000_i89997" style="width:0;height:1.5pt" o:hralign="center" o:hrstd="t" o:hr="t" fillcolor="#a0a0a0" stroked="f"/>
        </w:pict>
      </w:r>
    </w:p>
    <w:bookmarkStart w:id="379" w:name="Footnote54"/>
    <w:p w14:paraId="2DE05B5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"Footref54"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54</w:t>
      </w:r>
      <w:r w:rsidRPr="00807A92">
        <w:rPr>
          <w:rFonts w:ascii="Times New Roman" w:eastAsia="Times New Roman" w:hAnsi="Times New Roman" w:cs="Times New Roman"/>
          <w:sz w:val="24"/>
          <w:szCs w:val="24"/>
          <w:lang w:eastAsia="it-IT"/>
        </w:rPr>
        <w:fldChar w:fldCharType="end"/>
      </w:r>
      <w:bookmarkEnd w:id="379"/>
      <w:r w:rsidRPr="00807A92">
        <w:rPr>
          <w:rFonts w:ascii="Times New Roman" w:eastAsia="Times New Roman" w:hAnsi="Times New Roman" w:cs="Times New Roman"/>
          <w:sz w:val="24"/>
          <w:szCs w:val="24"/>
          <w:lang w:eastAsia="it-IT"/>
        </w:rPr>
        <w:t>      Council Directive of 12 March 2001 on the approximation of the laws of the Member States relating to the safeguarding of employees’ rights in the event of transfers of undertakings, businesses or parts of undertakings or businesses (OJ 2001 L 82, p. 16).</w:t>
      </w:r>
    </w:p>
    <w:p w14:paraId="131CA3C6"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6DECBB06">
          <v:rect id="_x0000_i89998" style="width:0;height:1.5pt" o:hralign="center" o:hrstd="t" o:hr="t" fillcolor="#a0a0a0" stroked="f"/>
        </w:pict>
      </w:r>
    </w:p>
    <w:bookmarkStart w:id="380" w:name="Footnote55"/>
    <w:p w14:paraId="4CC398E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"Footref55"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55</w:t>
      </w:r>
      <w:r w:rsidRPr="00807A92">
        <w:rPr>
          <w:rFonts w:ascii="Times New Roman" w:eastAsia="Times New Roman" w:hAnsi="Times New Roman" w:cs="Times New Roman"/>
          <w:sz w:val="24"/>
          <w:szCs w:val="24"/>
          <w:lang w:eastAsia="it-IT"/>
        </w:rPr>
        <w:fldChar w:fldCharType="end"/>
      </w:r>
      <w:bookmarkEnd w:id="380"/>
      <w:r w:rsidRPr="00807A92">
        <w:rPr>
          <w:rFonts w:ascii="Times New Roman" w:eastAsia="Times New Roman" w:hAnsi="Times New Roman" w:cs="Times New Roman"/>
          <w:sz w:val="24"/>
          <w:szCs w:val="24"/>
          <w:lang w:eastAsia="it-IT"/>
        </w:rPr>
        <w:t>      Judgment of 9 September 2015, Ferreira da Silva e Brito and Others (C</w:t>
      </w:r>
      <w:r w:rsidRPr="00807A92">
        <w:rPr>
          <w:rFonts w:ascii="Times New Roman" w:eastAsia="Times New Roman" w:hAnsi="Times New Roman" w:cs="Times New Roman"/>
          <w:sz w:val="24"/>
          <w:szCs w:val="24"/>
          <w:lang w:eastAsia="it-IT"/>
        </w:rPr>
        <w:noBreakHyphen/>
        <w:t>160/14, EU:C:2015:565, paragraphs 41 and 42). My emphasis.</w:t>
      </w:r>
    </w:p>
    <w:p w14:paraId="06CCC130"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2DCFCAAB">
          <v:rect id="_x0000_i89999" style="width:0;height:1.5pt" o:hralign="center" o:hrstd="t" o:hr="t" fillcolor="#a0a0a0" stroked="f"/>
        </w:pict>
      </w:r>
    </w:p>
    <w:bookmarkStart w:id="381" w:name="Footnote56"/>
    <w:p w14:paraId="781C12E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"Footref56"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56</w:t>
      </w:r>
      <w:r w:rsidRPr="00807A92">
        <w:rPr>
          <w:rFonts w:ascii="Times New Roman" w:eastAsia="Times New Roman" w:hAnsi="Times New Roman" w:cs="Times New Roman"/>
          <w:sz w:val="24"/>
          <w:szCs w:val="24"/>
          <w:lang w:eastAsia="it-IT"/>
        </w:rPr>
        <w:fldChar w:fldCharType="end"/>
      </w:r>
      <w:bookmarkEnd w:id="381"/>
      <w:r w:rsidRPr="00807A92">
        <w:rPr>
          <w:rFonts w:ascii="Times New Roman" w:eastAsia="Times New Roman" w:hAnsi="Times New Roman" w:cs="Times New Roman"/>
          <w:sz w:val="24"/>
          <w:szCs w:val="24"/>
          <w:lang w:eastAsia="it-IT"/>
        </w:rPr>
        <w:t>      Ibid., paragraph 44.</w:t>
      </w:r>
    </w:p>
    <w:p w14:paraId="680EC252"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79ED4C5">
          <v:rect id="_x0000_i90000" style="width:0;height:1.5pt" o:hralign="center" o:hrstd="t" o:hr="t" fillcolor="#a0a0a0" stroked="f"/>
        </w:pict>
      </w:r>
    </w:p>
    <w:bookmarkStart w:id="382" w:name="Footnote57"/>
    <w:p w14:paraId="1941B4D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"Footref57"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57</w:t>
      </w:r>
      <w:r w:rsidRPr="00807A92">
        <w:rPr>
          <w:rFonts w:ascii="Times New Roman" w:eastAsia="Times New Roman" w:hAnsi="Times New Roman" w:cs="Times New Roman"/>
          <w:sz w:val="24"/>
          <w:szCs w:val="24"/>
          <w:lang w:eastAsia="it-IT"/>
        </w:rPr>
        <w:fldChar w:fldCharType="end"/>
      </w:r>
      <w:bookmarkEnd w:id="382"/>
      <w:r w:rsidRPr="00807A92">
        <w:rPr>
          <w:rFonts w:ascii="Times New Roman" w:eastAsia="Times New Roman" w:hAnsi="Times New Roman" w:cs="Times New Roman"/>
          <w:sz w:val="24"/>
          <w:szCs w:val="24"/>
          <w:lang w:eastAsia="it-IT"/>
        </w:rPr>
        <w:t>      Judgment of 28 July 2016 (C</w:t>
      </w:r>
      <w:r w:rsidRPr="00807A92">
        <w:rPr>
          <w:rFonts w:ascii="Times New Roman" w:eastAsia="Times New Roman" w:hAnsi="Times New Roman" w:cs="Times New Roman"/>
          <w:sz w:val="24"/>
          <w:szCs w:val="24"/>
          <w:lang w:eastAsia="it-IT"/>
        </w:rPr>
        <w:noBreakHyphen/>
        <w:t>379/15, EU:C:2016:603).</w:t>
      </w:r>
    </w:p>
    <w:p w14:paraId="08C41313"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3554A74">
          <v:rect id="_x0000_i90001" style="width:0;height:1.5pt" o:hralign="center" o:hrstd="t" o:hr="t" fillcolor="#a0a0a0" stroked="f"/>
        </w:pict>
      </w:r>
    </w:p>
    <w:bookmarkStart w:id="383" w:name="Footnote58"/>
    <w:p w14:paraId="651C676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"Footref58"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58</w:t>
      </w:r>
      <w:r w:rsidRPr="00807A92">
        <w:rPr>
          <w:rFonts w:ascii="Times New Roman" w:eastAsia="Times New Roman" w:hAnsi="Times New Roman" w:cs="Times New Roman"/>
          <w:sz w:val="24"/>
          <w:szCs w:val="24"/>
          <w:lang w:eastAsia="it-IT"/>
        </w:rPr>
        <w:fldChar w:fldCharType="end"/>
      </w:r>
      <w:bookmarkEnd w:id="383"/>
      <w:r w:rsidRPr="00807A92">
        <w:rPr>
          <w:rFonts w:ascii="Times New Roman" w:eastAsia="Times New Roman" w:hAnsi="Times New Roman" w:cs="Times New Roman"/>
          <w:sz w:val="24"/>
          <w:szCs w:val="24"/>
          <w:lang w:eastAsia="it-IT"/>
        </w:rPr>
        <w:t>      Ibid., paragraph 48.</w:t>
      </w:r>
    </w:p>
    <w:p w14:paraId="0DB7369B"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pict w14:anchorId="3A162985">
          <v:rect id="_x0000_i90002" style="width:0;height:1.5pt" o:hralign="center" o:hrstd="t" o:hr="t" fillcolor="#a0a0a0" stroked="f"/>
        </w:pict>
      </w:r>
    </w:p>
    <w:bookmarkStart w:id="384" w:name="Footnote59"/>
    <w:p w14:paraId="48B6928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"Footref59"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59</w:t>
      </w:r>
      <w:r w:rsidRPr="00807A92">
        <w:rPr>
          <w:rFonts w:ascii="Times New Roman" w:eastAsia="Times New Roman" w:hAnsi="Times New Roman" w:cs="Times New Roman"/>
          <w:sz w:val="24"/>
          <w:szCs w:val="24"/>
          <w:lang w:eastAsia="it-IT"/>
        </w:rPr>
        <w:fldChar w:fldCharType="end"/>
      </w:r>
      <w:bookmarkEnd w:id="384"/>
      <w:r w:rsidRPr="00807A92">
        <w:rPr>
          <w:rFonts w:ascii="Times New Roman" w:eastAsia="Times New Roman" w:hAnsi="Times New Roman" w:cs="Times New Roman"/>
          <w:sz w:val="24"/>
          <w:szCs w:val="24"/>
          <w:lang w:eastAsia="it-IT"/>
        </w:rPr>
        <w:t>      Judgment of 28 February 2012, Inter-Environnement Wallonie and Terre wallonne (C</w:t>
      </w:r>
      <w:r w:rsidRPr="00807A92">
        <w:rPr>
          <w:rFonts w:ascii="Times New Roman" w:eastAsia="Times New Roman" w:hAnsi="Times New Roman" w:cs="Times New Roman"/>
          <w:sz w:val="24"/>
          <w:szCs w:val="24"/>
          <w:lang w:eastAsia="it-IT"/>
        </w:rPr>
        <w:noBreakHyphen/>
        <w:t>41/11, EU:C:2012:103).</w:t>
      </w:r>
    </w:p>
    <w:p w14:paraId="1F20240E"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F43A3F0">
          <v:rect id="_x0000_i90003" style="width:0;height:1.5pt" o:hralign="center" o:hrstd="t" o:hr="t" fillcolor="#a0a0a0" stroked="f"/>
        </w:pict>
      </w:r>
    </w:p>
    <w:bookmarkStart w:id="385" w:name="Footnote60"/>
    <w:p w14:paraId="2F13ECD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"Footref60"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60</w:t>
      </w:r>
      <w:r w:rsidRPr="00807A92">
        <w:rPr>
          <w:rFonts w:ascii="Times New Roman" w:eastAsia="Times New Roman" w:hAnsi="Times New Roman" w:cs="Times New Roman"/>
          <w:sz w:val="24"/>
          <w:szCs w:val="24"/>
          <w:lang w:eastAsia="it-IT"/>
        </w:rPr>
        <w:fldChar w:fldCharType="end"/>
      </w:r>
      <w:bookmarkEnd w:id="385"/>
      <w:r w:rsidRPr="00807A92">
        <w:rPr>
          <w:rFonts w:ascii="Times New Roman" w:eastAsia="Times New Roman" w:hAnsi="Times New Roman" w:cs="Times New Roman"/>
          <w:sz w:val="24"/>
          <w:szCs w:val="24"/>
          <w:lang w:eastAsia="it-IT"/>
        </w:rPr>
        <w:t xml:space="preserve">      Judgment of 28 July 2016, </w:t>
      </w:r>
      <w:r w:rsidRPr="00807A92">
        <w:rPr>
          <w:rFonts w:ascii="Times New Roman" w:eastAsia="Times New Roman" w:hAnsi="Times New Roman" w:cs="Times New Roman"/>
          <w:i/>
          <w:iCs/>
          <w:sz w:val="24"/>
          <w:szCs w:val="24"/>
          <w:lang w:eastAsia="it-IT"/>
        </w:rPr>
        <w:t>Association France Nature Environnement</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379/15, EU:C:2016:603, paragraph 51). My emphasis.</w:t>
      </w:r>
    </w:p>
    <w:p w14:paraId="2A7230C7"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60F5191C">
          <v:rect id="_x0000_i90004" style="width:0;height:1.5pt" o:hralign="center" o:hrstd="t" o:hr="t" fillcolor="#a0a0a0" stroked="f"/>
        </w:pict>
      </w:r>
    </w:p>
    <w:bookmarkStart w:id="386" w:name="Footnote61"/>
    <w:p w14:paraId="79C6040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"Footref61"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61</w:t>
      </w:r>
      <w:r w:rsidRPr="00807A92">
        <w:rPr>
          <w:rFonts w:ascii="Times New Roman" w:eastAsia="Times New Roman" w:hAnsi="Times New Roman" w:cs="Times New Roman"/>
          <w:sz w:val="24"/>
          <w:szCs w:val="24"/>
          <w:lang w:eastAsia="it-IT"/>
        </w:rPr>
        <w:fldChar w:fldCharType="end"/>
      </w:r>
      <w:bookmarkEnd w:id="386"/>
      <w:r w:rsidRPr="00807A92">
        <w:rPr>
          <w:rFonts w:ascii="Times New Roman" w:eastAsia="Times New Roman" w:hAnsi="Times New Roman" w:cs="Times New Roman"/>
          <w:sz w:val="24"/>
          <w:szCs w:val="24"/>
          <w:lang w:eastAsia="it-IT"/>
        </w:rPr>
        <w:t>      Ibid., paragraph 52. My emphasis.</w:t>
      </w:r>
    </w:p>
    <w:p w14:paraId="3C947FAB"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5D128CE">
          <v:rect id="_x0000_i90005" style="width:0;height:1.5pt" o:hralign="center" o:hrstd="t" o:hr="t" fillcolor="#a0a0a0" stroked="f"/>
        </w:pict>
      </w:r>
    </w:p>
    <w:bookmarkStart w:id="387" w:name="Footnote62"/>
    <w:p w14:paraId="27F28CC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"Footref62"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62</w:t>
      </w:r>
      <w:r w:rsidRPr="00807A92">
        <w:rPr>
          <w:rFonts w:ascii="Times New Roman" w:eastAsia="Times New Roman" w:hAnsi="Times New Roman" w:cs="Times New Roman"/>
          <w:sz w:val="24"/>
          <w:szCs w:val="24"/>
          <w:lang w:eastAsia="it-IT"/>
        </w:rPr>
        <w:fldChar w:fldCharType="end"/>
      </w:r>
      <w:bookmarkEnd w:id="387"/>
      <w:r w:rsidRPr="00807A92">
        <w:rPr>
          <w:rFonts w:ascii="Times New Roman" w:eastAsia="Times New Roman" w:hAnsi="Times New Roman" w:cs="Times New Roman"/>
          <w:sz w:val="24"/>
          <w:szCs w:val="24"/>
          <w:lang w:eastAsia="it-IT"/>
        </w:rPr>
        <w:t>      Judgment of 9 September 2015, Ferreira da Silva e Brito and Others (C</w:t>
      </w:r>
      <w:r w:rsidRPr="00807A92">
        <w:rPr>
          <w:rFonts w:ascii="Times New Roman" w:eastAsia="Times New Roman" w:hAnsi="Times New Roman" w:cs="Times New Roman"/>
          <w:sz w:val="24"/>
          <w:szCs w:val="24"/>
          <w:lang w:eastAsia="it-IT"/>
        </w:rPr>
        <w:noBreakHyphen/>
        <w:t>160/14, EU:C:2015:565, paragraph 43).</w:t>
      </w:r>
    </w:p>
    <w:p w14:paraId="1F0F76FA"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4173450">
          <v:rect id="_x0000_i90006" style="width:0;height:1.5pt" o:hralign="center" o:hrstd="t" o:hr="t" fillcolor="#a0a0a0" stroked="f"/>
        </w:pict>
      </w:r>
    </w:p>
    <w:bookmarkStart w:id="388" w:name="Footnote63"/>
    <w:p w14:paraId="2F540FA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"Footref63"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63</w:t>
      </w:r>
      <w:r w:rsidRPr="00807A92">
        <w:rPr>
          <w:rFonts w:ascii="Times New Roman" w:eastAsia="Times New Roman" w:hAnsi="Times New Roman" w:cs="Times New Roman"/>
          <w:sz w:val="24"/>
          <w:szCs w:val="24"/>
          <w:lang w:eastAsia="it-IT"/>
        </w:rPr>
        <w:fldChar w:fldCharType="end"/>
      </w:r>
      <w:bookmarkEnd w:id="388"/>
      <w:r w:rsidRPr="00807A92">
        <w:rPr>
          <w:rFonts w:ascii="Times New Roman" w:eastAsia="Times New Roman" w:hAnsi="Times New Roman" w:cs="Times New Roman"/>
          <w:sz w:val="24"/>
          <w:szCs w:val="24"/>
          <w:lang w:eastAsia="it-IT"/>
        </w:rPr>
        <w:t xml:space="preserve">      Judgment of 6 October 1982, CILFIT and Others (283/81, EU:C:1982:335, paragraph 16). My emphasis. </w:t>
      </w:r>
    </w:p>
    <w:p w14:paraId="46E8D09B"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93EB3DB">
          <v:rect id="_x0000_i90007" style="width:0;height:1.5pt" o:hralign="center" o:hrstd="t" o:hr="t" fillcolor="#a0a0a0" stroked="f"/>
        </w:pict>
      </w:r>
    </w:p>
    <w:bookmarkStart w:id="389" w:name="Footnote64"/>
    <w:p w14:paraId="6C97B5D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"Footref64"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64</w:t>
      </w:r>
      <w:r w:rsidRPr="00807A92">
        <w:rPr>
          <w:rFonts w:ascii="Times New Roman" w:eastAsia="Times New Roman" w:hAnsi="Times New Roman" w:cs="Times New Roman"/>
          <w:sz w:val="24"/>
          <w:szCs w:val="24"/>
          <w:lang w:eastAsia="it-IT"/>
        </w:rPr>
        <w:fldChar w:fldCharType="end"/>
      </w:r>
      <w:bookmarkEnd w:id="389"/>
      <w:r w:rsidRPr="00807A92">
        <w:rPr>
          <w:rFonts w:ascii="Times New Roman" w:eastAsia="Times New Roman" w:hAnsi="Times New Roman" w:cs="Times New Roman"/>
          <w:sz w:val="24"/>
          <w:szCs w:val="24"/>
          <w:lang w:eastAsia="it-IT"/>
        </w:rPr>
        <w:t>      However, see on this point, Opinion of Advocate General Wahl in Joined Cases X and van Dijk (C</w:t>
      </w:r>
      <w:r w:rsidRPr="00807A92">
        <w:rPr>
          <w:rFonts w:ascii="Times New Roman" w:eastAsia="Times New Roman" w:hAnsi="Times New Roman" w:cs="Times New Roman"/>
          <w:sz w:val="24"/>
          <w:szCs w:val="24"/>
          <w:lang w:eastAsia="it-IT"/>
        </w:rPr>
        <w:noBreakHyphen/>
        <w:t>72/14 and C</w:t>
      </w:r>
      <w:r w:rsidRPr="00807A92">
        <w:rPr>
          <w:rFonts w:ascii="Times New Roman" w:eastAsia="Times New Roman" w:hAnsi="Times New Roman" w:cs="Times New Roman"/>
          <w:sz w:val="24"/>
          <w:szCs w:val="24"/>
          <w:lang w:eastAsia="it-IT"/>
        </w:rPr>
        <w:noBreakHyphen/>
        <w:t>197/14, EU:C:2015:319, point 68).</w:t>
      </w:r>
    </w:p>
    <w:p w14:paraId="132778F5"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586CDBE">
          <v:rect id="_x0000_i90008" style="width:0;height:1.5pt" o:hralign="center" o:hrstd="t" o:hr="t" fillcolor="#a0a0a0" stroked="f"/>
        </w:pict>
      </w:r>
    </w:p>
    <w:bookmarkStart w:id="390" w:name="Footnote65"/>
    <w:p w14:paraId="6C581B0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"Footref65"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65</w:t>
      </w:r>
      <w:r w:rsidRPr="00807A92">
        <w:rPr>
          <w:rFonts w:ascii="Times New Roman" w:eastAsia="Times New Roman" w:hAnsi="Times New Roman" w:cs="Times New Roman"/>
          <w:sz w:val="24"/>
          <w:szCs w:val="24"/>
          <w:lang w:eastAsia="it-IT"/>
        </w:rPr>
        <w:fldChar w:fldCharType="end"/>
      </w:r>
      <w:bookmarkEnd w:id="390"/>
      <w:r w:rsidRPr="00807A92">
        <w:rPr>
          <w:rFonts w:ascii="Times New Roman" w:eastAsia="Times New Roman" w:hAnsi="Times New Roman" w:cs="Times New Roman"/>
          <w:sz w:val="24"/>
          <w:szCs w:val="24"/>
          <w:lang w:eastAsia="it-IT"/>
        </w:rPr>
        <w:t xml:space="preserve">      See, for instance, Kornezov, A., ‘The New Format of the </w:t>
      </w:r>
      <w:r w:rsidRPr="00807A92">
        <w:rPr>
          <w:rFonts w:ascii="Times New Roman" w:eastAsia="Times New Roman" w:hAnsi="Times New Roman" w:cs="Times New Roman"/>
          <w:i/>
          <w:iCs/>
          <w:sz w:val="24"/>
          <w:szCs w:val="24"/>
          <w:lang w:eastAsia="it-IT"/>
        </w:rPr>
        <w:t xml:space="preserve">Acte Clair </w:t>
      </w:r>
      <w:r w:rsidRPr="00807A92">
        <w:rPr>
          <w:rFonts w:ascii="Times New Roman" w:eastAsia="Times New Roman" w:hAnsi="Times New Roman" w:cs="Times New Roman"/>
          <w:sz w:val="24"/>
          <w:szCs w:val="24"/>
          <w:lang w:eastAsia="it-IT"/>
        </w:rPr>
        <w:t>Doctrine and its Consequences’ CMLR, vol. 53, 2016, p. 1317; Limante, A., ‘Recent Developments in the Acte Clair Case Law of the EU Court of Justice: Towards a more Flexible Approach’, JCMS, vol. 54, 2016, p. 1384; Gervasoni, S., ‘CJUE et cours suprêmes: repenser les termes du dialogue des juges ?’, AJDA, 2019, p. 150.</w:t>
      </w:r>
    </w:p>
    <w:p w14:paraId="0B12CFF1"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F8FF586">
          <v:rect id="_x0000_i90009" style="width:0;height:1.5pt" o:hralign="center" o:hrstd="t" o:hr="t" fillcolor="#a0a0a0" stroked="f"/>
        </w:pict>
      </w:r>
    </w:p>
    <w:bookmarkStart w:id="391" w:name="Footnote66"/>
    <w:p w14:paraId="6BBFFAB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"Footref66"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66</w:t>
      </w:r>
      <w:r w:rsidRPr="00807A92">
        <w:rPr>
          <w:rFonts w:ascii="Times New Roman" w:eastAsia="Times New Roman" w:hAnsi="Times New Roman" w:cs="Times New Roman"/>
          <w:sz w:val="24"/>
          <w:szCs w:val="24"/>
          <w:lang w:eastAsia="it-IT"/>
        </w:rPr>
        <w:fldChar w:fldCharType="end"/>
      </w:r>
      <w:bookmarkEnd w:id="391"/>
      <w:r w:rsidRPr="00807A92">
        <w:rPr>
          <w:rFonts w:ascii="Times New Roman" w:eastAsia="Times New Roman" w:hAnsi="Times New Roman" w:cs="Times New Roman"/>
          <w:sz w:val="24"/>
          <w:szCs w:val="24"/>
          <w:lang w:eastAsia="it-IT"/>
        </w:rPr>
        <w:t xml:space="preserve">      See, for example, judgment of the Ústavní soud (Constitutional Court, Czech Republic) of 11 September 2018, Case No II.ÚS 3432/17 (ECLI:CZ:US:2018:2.US.3432.17.1). In that case, the Ústavní soud (Constitutional Court), repeatedly relying on </w:t>
      </w:r>
      <w:r w:rsidRPr="00807A92">
        <w:rPr>
          <w:rFonts w:ascii="Times New Roman" w:eastAsia="Times New Roman" w:hAnsi="Times New Roman" w:cs="Times New Roman"/>
          <w:i/>
          <w:iCs/>
          <w:sz w:val="24"/>
          <w:szCs w:val="24"/>
          <w:lang w:eastAsia="it-IT"/>
        </w:rPr>
        <w:t>Ferreira Da Silva e Brito</w:t>
      </w:r>
      <w:r w:rsidRPr="00807A92">
        <w:rPr>
          <w:rFonts w:ascii="Times New Roman" w:eastAsia="Times New Roman" w:hAnsi="Times New Roman" w:cs="Times New Roman"/>
          <w:sz w:val="24"/>
          <w:szCs w:val="24"/>
          <w:lang w:eastAsia="it-IT"/>
        </w:rPr>
        <w:t xml:space="preserve">,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 xml:space="preserve">refused to sanction, contrary to its previous case-law, an acknowledged failure on the part of the Nejvyšší soud (Czech Supreme Court) to make a reference in a situation where there were contradictory judgments on the same matter of EU law issued </w:t>
      </w:r>
      <w:r w:rsidRPr="00807A92">
        <w:rPr>
          <w:rFonts w:ascii="Times New Roman" w:eastAsia="Times New Roman" w:hAnsi="Times New Roman" w:cs="Times New Roman"/>
          <w:i/>
          <w:iCs/>
          <w:sz w:val="24"/>
          <w:szCs w:val="24"/>
          <w:lang w:eastAsia="it-IT"/>
        </w:rPr>
        <w:t>within</w:t>
      </w:r>
      <w:r w:rsidRPr="00807A92">
        <w:rPr>
          <w:rFonts w:ascii="Times New Roman" w:eastAsia="Times New Roman" w:hAnsi="Times New Roman" w:cs="Times New Roman"/>
          <w:sz w:val="24"/>
          <w:szCs w:val="24"/>
          <w:lang w:eastAsia="it-IT"/>
        </w:rPr>
        <w:t xml:space="preserve"> the Czech Republic. Critically, see, for example, Malenovský J., ‘Protichůdné zájmy v řízení o předběžné otázce a jejích důsledky’, </w:t>
      </w:r>
      <w:r w:rsidRPr="00807A92">
        <w:rPr>
          <w:rFonts w:ascii="Times New Roman" w:eastAsia="Times New Roman" w:hAnsi="Times New Roman" w:cs="Times New Roman"/>
          <w:i/>
          <w:iCs/>
          <w:sz w:val="24"/>
          <w:szCs w:val="24"/>
          <w:lang w:eastAsia="it-IT"/>
        </w:rPr>
        <w:t>Právní rozhledy</w:t>
      </w:r>
      <w:r w:rsidRPr="00807A92">
        <w:rPr>
          <w:rFonts w:ascii="Times New Roman" w:eastAsia="Times New Roman" w:hAnsi="Times New Roman" w:cs="Times New Roman"/>
          <w:sz w:val="24"/>
          <w:szCs w:val="24"/>
          <w:lang w:eastAsia="it-IT"/>
        </w:rPr>
        <w:t xml:space="preserve">, C.H. Beck, 6/2019, p. 191. </w:t>
      </w:r>
    </w:p>
    <w:p w14:paraId="3F02E240"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60CAE720">
          <v:rect id="_x0000_i90010" style="width:0;height:1.5pt" o:hralign="center" o:hrstd="t" o:hr="t" fillcolor="#a0a0a0" stroked="f"/>
        </w:pict>
      </w:r>
    </w:p>
    <w:bookmarkStart w:id="392" w:name="Footnote67"/>
    <w:p w14:paraId="6CAE971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"Footref67"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67</w:t>
      </w:r>
      <w:r w:rsidRPr="00807A92">
        <w:rPr>
          <w:rFonts w:ascii="Times New Roman" w:eastAsia="Times New Roman" w:hAnsi="Times New Roman" w:cs="Times New Roman"/>
          <w:sz w:val="24"/>
          <w:szCs w:val="24"/>
          <w:lang w:eastAsia="it-IT"/>
        </w:rPr>
        <w:fldChar w:fldCharType="end"/>
      </w:r>
      <w:bookmarkEnd w:id="392"/>
      <w:r w:rsidRPr="00807A92">
        <w:rPr>
          <w:rFonts w:ascii="Times New Roman" w:eastAsia="Times New Roman" w:hAnsi="Times New Roman" w:cs="Times New Roman"/>
          <w:sz w:val="24"/>
          <w:szCs w:val="24"/>
          <w:lang w:eastAsia="it-IT"/>
        </w:rPr>
        <w:t xml:space="preserve">      See above, point 51 of this Opinion. </w:t>
      </w:r>
    </w:p>
    <w:p w14:paraId="00E6AE57"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pict w14:anchorId="6311A179">
          <v:rect id="_x0000_i90011" style="width:0;height:1.5pt" o:hralign="center" o:hrstd="t" o:hr="t" fillcolor="#a0a0a0" stroked="f"/>
        </w:pict>
      </w:r>
    </w:p>
    <w:bookmarkStart w:id="393" w:name="Footnote68"/>
    <w:p w14:paraId="2CBAEB9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"Footref68"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68</w:t>
      </w:r>
      <w:r w:rsidRPr="00807A92">
        <w:rPr>
          <w:rFonts w:ascii="Times New Roman" w:eastAsia="Times New Roman" w:hAnsi="Times New Roman" w:cs="Times New Roman"/>
          <w:sz w:val="24"/>
          <w:szCs w:val="24"/>
          <w:lang w:eastAsia="it-IT"/>
        </w:rPr>
        <w:fldChar w:fldCharType="end"/>
      </w:r>
      <w:bookmarkEnd w:id="393"/>
      <w:r w:rsidRPr="00807A92">
        <w:rPr>
          <w:rFonts w:ascii="Times New Roman" w:eastAsia="Times New Roman" w:hAnsi="Times New Roman" w:cs="Times New Roman"/>
          <w:sz w:val="24"/>
          <w:szCs w:val="24"/>
          <w:lang w:eastAsia="it-IT"/>
        </w:rPr>
        <w:t xml:space="preserve">      Judgment of 24 May 1977, Hoffmann-Laroche (107/76, EU:C:1977:89, paragraph 5). </w:t>
      </w:r>
    </w:p>
    <w:p w14:paraId="19ECCB3D"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66C798C">
          <v:rect id="_x0000_i90012" style="width:0;height:1.5pt" o:hralign="center" o:hrstd="t" o:hr="t" fillcolor="#a0a0a0" stroked="f"/>
        </w:pict>
      </w:r>
    </w:p>
    <w:bookmarkStart w:id="394" w:name="Footnote69"/>
    <w:p w14:paraId="2C3D97C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"Footref69"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69</w:t>
      </w:r>
      <w:r w:rsidRPr="00807A92">
        <w:rPr>
          <w:rFonts w:ascii="Times New Roman" w:eastAsia="Times New Roman" w:hAnsi="Times New Roman" w:cs="Times New Roman"/>
          <w:sz w:val="24"/>
          <w:szCs w:val="24"/>
          <w:lang w:eastAsia="it-IT"/>
        </w:rPr>
        <w:fldChar w:fldCharType="end"/>
      </w:r>
      <w:bookmarkEnd w:id="394"/>
      <w:r w:rsidRPr="00807A92">
        <w:rPr>
          <w:rFonts w:ascii="Times New Roman" w:eastAsia="Times New Roman" w:hAnsi="Times New Roman" w:cs="Times New Roman"/>
          <w:sz w:val="24"/>
          <w:szCs w:val="24"/>
          <w:lang w:eastAsia="it-IT"/>
        </w:rPr>
        <w:t xml:space="preserve">      See above, points 59 and 60 of this Opinion. </w:t>
      </w:r>
    </w:p>
    <w:p w14:paraId="51F54AE2"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A7FBA7C">
          <v:rect id="_x0000_i90013" style="width:0;height:1.5pt" o:hralign="center" o:hrstd="t" o:hr="t" fillcolor="#a0a0a0" stroked="f"/>
        </w:pict>
      </w:r>
    </w:p>
    <w:bookmarkStart w:id="395" w:name="Footnote70"/>
    <w:p w14:paraId="4A46932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"Footref70"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70</w:t>
      </w:r>
      <w:r w:rsidRPr="00807A92">
        <w:rPr>
          <w:rFonts w:ascii="Times New Roman" w:eastAsia="Times New Roman" w:hAnsi="Times New Roman" w:cs="Times New Roman"/>
          <w:sz w:val="24"/>
          <w:szCs w:val="24"/>
          <w:lang w:eastAsia="it-IT"/>
        </w:rPr>
        <w:fldChar w:fldCharType="end"/>
      </w:r>
      <w:bookmarkEnd w:id="395"/>
      <w:r w:rsidRPr="00807A92">
        <w:rPr>
          <w:rFonts w:ascii="Times New Roman" w:eastAsia="Times New Roman" w:hAnsi="Times New Roman" w:cs="Times New Roman"/>
          <w:sz w:val="24"/>
          <w:szCs w:val="24"/>
          <w:lang w:eastAsia="it-IT"/>
        </w:rPr>
        <w:t xml:space="preserve">      See judgment of 6 October 1982, </w:t>
      </w:r>
      <w:r w:rsidRPr="00807A92">
        <w:rPr>
          <w:rFonts w:ascii="Times New Roman" w:eastAsia="Times New Roman" w:hAnsi="Times New Roman" w:cs="Times New Roman"/>
          <w:i/>
          <w:iCs/>
          <w:sz w:val="24"/>
          <w:szCs w:val="24"/>
          <w:lang w:eastAsia="it-IT"/>
        </w:rPr>
        <w:t>CILFIT and Others</w:t>
      </w:r>
      <w:r w:rsidRPr="00807A92">
        <w:rPr>
          <w:rFonts w:ascii="Times New Roman" w:eastAsia="Times New Roman" w:hAnsi="Times New Roman" w:cs="Times New Roman"/>
          <w:sz w:val="24"/>
          <w:szCs w:val="24"/>
          <w:lang w:eastAsia="it-IT"/>
        </w:rPr>
        <w:t xml:space="preserve"> (283/81, EU:C:1982:335, paragraph 3).</w:t>
      </w:r>
    </w:p>
    <w:p w14:paraId="10885FF8"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12223F5">
          <v:rect id="_x0000_i90014" style="width:0;height:1.5pt" o:hralign="center" o:hrstd="t" o:hr="t" fillcolor="#a0a0a0" stroked="f"/>
        </w:pict>
      </w:r>
    </w:p>
    <w:bookmarkStart w:id="396" w:name="Footnote71"/>
    <w:p w14:paraId="5AD658E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"Footref71"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71</w:t>
      </w:r>
      <w:r w:rsidRPr="00807A92">
        <w:rPr>
          <w:rFonts w:ascii="Times New Roman" w:eastAsia="Times New Roman" w:hAnsi="Times New Roman" w:cs="Times New Roman"/>
          <w:sz w:val="24"/>
          <w:szCs w:val="24"/>
          <w:lang w:eastAsia="it-IT"/>
        </w:rPr>
        <w:fldChar w:fldCharType="end"/>
      </w:r>
      <w:bookmarkEnd w:id="396"/>
      <w:r w:rsidRPr="00807A92">
        <w:rPr>
          <w:rFonts w:ascii="Times New Roman" w:eastAsia="Times New Roman" w:hAnsi="Times New Roman" w:cs="Times New Roman"/>
          <w:sz w:val="24"/>
          <w:szCs w:val="24"/>
          <w:lang w:eastAsia="it-IT"/>
        </w:rPr>
        <w:t>      See, in this regard, the Opinion of Advocate General Capotorti in CILFIT and Others (283/81, EU:C:1982:267) who, after having critically explained the origins of the French ‘acte clair theory’, also refused to take inspiration from Italian constitutional law (the ‘manifest irrelevance’ test) in order to determine the scope of the duty to refer under EU law.</w:t>
      </w:r>
    </w:p>
    <w:p w14:paraId="6C1E5FE6"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65CA19AF">
          <v:rect id="_x0000_i90015" style="width:0;height:1.5pt" o:hralign="center" o:hrstd="t" o:hr="t" fillcolor="#a0a0a0" stroked="f"/>
        </w:pict>
      </w:r>
    </w:p>
    <w:bookmarkStart w:id="397" w:name="Footnote72"/>
    <w:p w14:paraId="6451F8A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"Footref72"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72</w:t>
      </w:r>
      <w:r w:rsidRPr="00807A92">
        <w:rPr>
          <w:rFonts w:ascii="Times New Roman" w:eastAsia="Times New Roman" w:hAnsi="Times New Roman" w:cs="Times New Roman"/>
          <w:sz w:val="24"/>
          <w:szCs w:val="24"/>
          <w:lang w:eastAsia="it-IT"/>
        </w:rPr>
        <w:fldChar w:fldCharType="end"/>
      </w:r>
      <w:bookmarkEnd w:id="397"/>
      <w:r w:rsidRPr="00807A92">
        <w:rPr>
          <w:rFonts w:ascii="Times New Roman" w:eastAsia="Times New Roman" w:hAnsi="Times New Roman" w:cs="Times New Roman"/>
          <w:sz w:val="24"/>
          <w:szCs w:val="24"/>
          <w:lang w:eastAsia="it-IT"/>
        </w:rPr>
        <w:t xml:space="preserve">      On the French courts’ practice of ‘acte clair’ in general, see, for example, Lagrange, M., ‘Cour de justice européenne et tribunaux nationaux – La théorie de « l’acte clair » : pomme de discorde ou trait d’union?’, </w:t>
      </w:r>
      <w:r w:rsidRPr="00807A92">
        <w:rPr>
          <w:rFonts w:ascii="Times New Roman" w:eastAsia="Times New Roman" w:hAnsi="Times New Roman" w:cs="Times New Roman"/>
          <w:i/>
          <w:iCs/>
          <w:sz w:val="24"/>
          <w:szCs w:val="24"/>
          <w:lang w:eastAsia="it-IT"/>
        </w:rPr>
        <w:t>Gazette du Palai</w:t>
      </w:r>
      <w:r w:rsidRPr="00807A92">
        <w:rPr>
          <w:rFonts w:ascii="Times New Roman" w:eastAsia="Times New Roman" w:hAnsi="Times New Roman" w:cs="Times New Roman"/>
          <w:sz w:val="24"/>
          <w:szCs w:val="24"/>
          <w:lang w:eastAsia="it-IT"/>
        </w:rPr>
        <w:t xml:space="preserve">s, 19 March 1971, Nos 76 à 78, p. 1; in the specific context of EU law, see, for example, Lesguillons, H., ‘Les juges français et l’article 177’, </w:t>
      </w:r>
      <w:r w:rsidRPr="00807A92">
        <w:rPr>
          <w:rFonts w:ascii="Times New Roman" w:eastAsia="Times New Roman" w:hAnsi="Times New Roman" w:cs="Times New Roman"/>
          <w:i/>
          <w:iCs/>
          <w:sz w:val="24"/>
          <w:szCs w:val="24"/>
          <w:lang w:eastAsia="it-IT"/>
        </w:rPr>
        <w:t xml:space="preserve">Cahiers de droit européen </w:t>
      </w:r>
      <w:r w:rsidRPr="00807A92">
        <w:rPr>
          <w:rFonts w:ascii="Times New Roman" w:eastAsia="Times New Roman" w:hAnsi="Times New Roman" w:cs="Times New Roman"/>
          <w:sz w:val="24"/>
          <w:szCs w:val="24"/>
          <w:lang w:eastAsia="it-IT"/>
        </w:rPr>
        <w:t>4, 1968, p. 253.</w:t>
      </w:r>
    </w:p>
    <w:p w14:paraId="37BD39D8"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5484ACF">
          <v:rect id="_x0000_i90016" style="width:0;height:1.5pt" o:hralign="center" o:hrstd="t" o:hr="t" fillcolor="#a0a0a0" stroked="f"/>
        </w:pict>
      </w:r>
    </w:p>
    <w:bookmarkStart w:id="398" w:name="Footnote73"/>
    <w:p w14:paraId="7160F42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"Footref73"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73</w:t>
      </w:r>
      <w:r w:rsidRPr="00807A92">
        <w:rPr>
          <w:rFonts w:ascii="Times New Roman" w:eastAsia="Times New Roman" w:hAnsi="Times New Roman" w:cs="Times New Roman"/>
          <w:sz w:val="24"/>
          <w:szCs w:val="24"/>
          <w:lang w:eastAsia="it-IT"/>
        </w:rPr>
        <w:fldChar w:fldCharType="end"/>
      </w:r>
      <w:bookmarkEnd w:id="398"/>
      <w:r w:rsidRPr="00807A92">
        <w:rPr>
          <w:rFonts w:ascii="Times New Roman" w:eastAsia="Times New Roman" w:hAnsi="Times New Roman" w:cs="Times New Roman"/>
          <w:sz w:val="24"/>
          <w:szCs w:val="24"/>
          <w:lang w:eastAsia="it-IT"/>
        </w:rPr>
        <w:t xml:space="preserve">      French Conseil d’État (Council of State), judgment of 19 June 1964, </w:t>
      </w:r>
      <w:r w:rsidRPr="00807A92">
        <w:rPr>
          <w:rFonts w:ascii="Times New Roman" w:eastAsia="Times New Roman" w:hAnsi="Times New Roman" w:cs="Times New Roman"/>
          <w:i/>
          <w:iCs/>
          <w:sz w:val="24"/>
          <w:szCs w:val="24"/>
          <w:lang w:eastAsia="it-IT"/>
        </w:rPr>
        <w:t>Société des pétroles Shell-Berre</w:t>
      </w:r>
      <w:r w:rsidRPr="00807A92">
        <w:rPr>
          <w:rFonts w:ascii="Times New Roman" w:eastAsia="Times New Roman" w:hAnsi="Times New Roman" w:cs="Times New Roman"/>
          <w:sz w:val="24"/>
          <w:szCs w:val="24"/>
          <w:lang w:eastAsia="it-IT"/>
        </w:rPr>
        <w:t>, n°47007, known as the first judgment where the Conseil d’Etat (Council of State) applied the ‘acte clair theory’ to EU law.</w:t>
      </w:r>
    </w:p>
    <w:p w14:paraId="2F82559B"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16AA0D2">
          <v:rect id="_x0000_i90017" style="width:0;height:1.5pt" o:hralign="center" o:hrstd="t" o:hr="t" fillcolor="#a0a0a0" stroked="f"/>
        </w:pict>
      </w:r>
    </w:p>
    <w:bookmarkStart w:id="399" w:name="Footnote74"/>
    <w:p w14:paraId="361AD707"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"Footref74"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74</w:t>
      </w:r>
      <w:r w:rsidRPr="00807A92">
        <w:rPr>
          <w:rFonts w:ascii="Times New Roman" w:eastAsia="Times New Roman" w:hAnsi="Times New Roman" w:cs="Times New Roman"/>
          <w:sz w:val="24"/>
          <w:szCs w:val="24"/>
          <w:lang w:eastAsia="it-IT"/>
        </w:rPr>
        <w:fldChar w:fldCharType="end"/>
      </w:r>
      <w:bookmarkEnd w:id="399"/>
      <w:r w:rsidRPr="00807A92">
        <w:rPr>
          <w:rFonts w:ascii="Times New Roman" w:eastAsia="Times New Roman" w:hAnsi="Times New Roman" w:cs="Times New Roman"/>
          <w:sz w:val="24"/>
          <w:szCs w:val="24"/>
          <w:lang w:eastAsia="it-IT"/>
        </w:rPr>
        <w:t xml:space="preserve">      See Damaška, M.R., </w:t>
      </w:r>
      <w:r w:rsidRPr="00807A92">
        <w:rPr>
          <w:rFonts w:ascii="Times New Roman" w:eastAsia="Times New Roman" w:hAnsi="Times New Roman" w:cs="Times New Roman"/>
          <w:i/>
          <w:iCs/>
          <w:sz w:val="24"/>
          <w:szCs w:val="24"/>
          <w:lang w:eastAsia="it-IT"/>
        </w:rPr>
        <w:t>The Faces of Justice and State Authority: A Comparative Approach to the Legal Process</w:t>
      </w:r>
      <w:r w:rsidRPr="00807A92">
        <w:rPr>
          <w:rFonts w:ascii="Times New Roman" w:eastAsia="Times New Roman" w:hAnsi="Times New Roman" w:cs="Times New Roman"/>
          <w:sz w:val="24"/>
          <w:szCs w:val="24"/>
          <w:lang w:eastAsia="it-IT"/>
        </w:rPr>
        <w:t>, Yale University Press, 1986, p. 16.</w:t>
      </w:r>
    </w:p>
    <w:p w14:paraId="3EB7F877"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2A865EA">
          <v:rect id="_x0000_i90018" style="width:0;height:1.5pt" o:hralign="center" o:hrstd="t" o:hr="t" fillcolor="#a0a0a0" stroked="f"/>
        </w:pict>
      </w:r>
    </w:p>
    <w:bookmarkStart w:id="400" w:name="Footnote75"/>
    <w:p w14:paraId="32C3CDA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"Footref75"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75</w:t>
      </w:r>
      <w:r w:rsidRPr="00807A92">
        <w:rPr>
          <w:rFonts w:ascii="Times New Roman" w:eastAsia="Times New Roman" w:hAnsi="Times New Roman" w:cs="Times New Roman"/>
          <w:sz w:val="24"/>
          <w:szCs w:val="24"/>
          <w:lang w:eastAsia="it-IT"/>
        </w:rPr>
        <w:fldChar w:fldCharType="end"/>
      </w:r>
      <w:bookmarkEnd w:id="400"/>
      <w:r w:rsidRPr="00807A92">
        <w:rPr>
          <w:rFonts w:ascii="Times New Roman" w:eastAsia="Times New Roman" w:hAnsi="Times New Roman" w:cs="Times New Roman"/>
          <w:sz w:val="24"/>
          <w:szCs w:val="24"/>
          <w:lang w:eastAsia="it-IT"/>
        </w:rPr>
        <w:t>      Opinion of Advocate General Jacobs in Wiener SI (C</w:t>
      </w:r>
      <w:r w:rsidRPr="00807A92">
        <w:rPr>
          <w:rFonts w:ascii="Times New Roman" w:eastAsia="Times New Roman" w:hAnsi="Times New Roman" w:cs="Times New Roman"/>
          <w:sz w:val="24"/>
          <w:szCs w:val="24"/>
          <w:lang w:eastAsia="it-IT"/>
        </w:rPr>
        <w:noBreakHyphen/>
        <w:t xml:space="preserve">338/95, EU:C:1997:352, point 65). But see Opinion of Advocate General Tizzano in </w:t>
      </w:r>
      <w:r w:rsidRPr="00807A92">
        <w:rPr>
          <w:rFonts w:ascii="Times New Roman" w:eastAsia="Times New Roman" w:hAnsi="Times New Roman" w:cs="Times New Roman"/>
          <w:i/>
          <w:iCs/>
          <w:sz w:val="24"/>
          <w:szCs w:val="24"/>
          <w:lang w:eastAsia="it-IT"/>
        </w:rPr>
        <w:t>Lyckeskog</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 xml:space="preserve">99/00, EU:C:2002:108, point 75). </w:t>
      </w:r>
    </w:p>
    <w:p w14:paraId="1CB5C3D5"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515AA2BD">
          <v:rect id="_x0000_i90019" style="width:0;height:1.5pt" o:hralign="center" o:hrstd="t" o:hr="t" fillcolor="#a0a0a0" stroked="f"/>
        </w:pict>
      </w:r>
    </w:p>
    <w:bookmarkStart w:id="401" w:name="Footnote76"/>
    <w:p w14:paraId="04268A6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"Footref76"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76</w:t>
      </w:r>
      <w:r w:rsidRPr="00807A92">
        <w:rPr>
          <w:rFonts w:ascii="Times New Roman" w:eastAsia="Times New Roman" w:hAnsi="Times New Roman" w:cs="Times New Roman"/>
          <w:sz w:val="24"/>
          <w:szCs w:val="24"/>
          <w:lang w:eastAsia="it-IT"/>
        </w:rPr>
        <w:fldChar w:fldCharType="end"/>
      </w:r>
      <w:bookmarkEnd w:id="401"/>
      <w:r w:rsidRPr="00807A92">
        <w:rPr>
          <w:rFonts w:ascii="Times New Roman" w:eastAsia="Times New Roman" w:hAnsi="Times New Roman" w:cs="Times New Roman"/>
          <w:sz w:val="24"/>
          <w:szCs w:val="24"/>
          <w:lang w:eastAsia="it-IT"/>
        </w:rPr>
        <w:t>      Opinion of Advocate General Jacobs in Wiener SI (C</w:t>
      </w:r>
      <w:r w:rsidRPr="00807A92">
        <w:rPr>
          <w:rFonts w:ascii="Times New Roman" w:eastAsia="Times New Roman" w:hAnsi="Times New Roman" w:cs="Times New Roman"/>
          <w:sz w:val="24"/>
          <w:szCs w:val="24"/>
          <w:lang w:eastAsia="it-IT"/>
        </w:rPr>
        <w:noBreakHyphen/>
        <w:t>338/95, EU:C:1997:352, point 58).</w:t>
      </w:r>
    </w:p>
    <w:p w14:paraId="5597C0CB"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D22199C">
          <v:rect id="_x0000_i90020" style="width:0;height:1.5pt" o:hralign="center" o:hrstd="t" o:hr="t" fillcolor="#a0a0a0" stroked="f"/>
        </w:pict>
      </w:r>
    </w:p>
    <w:bookmarkStart w:id="402" w:name="Footnote77"/>
    <w:p w14:paraId="39CC1AD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"Footref77"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77</w:t>
      </w:r>
      <w:r w:rsidRPr="00807A92">
        <w:rPr>
          <w:rFonts w:ascii="Times New Roman" w:eastAsia="Times New Roman" w:hAnsi="Times New Roman" w:cs="Times New Roman"/>
          <w:sz w:val="24"/>
          <w:szCs w:val="24"/>
          <w:lang w:eastAsia="it-IT"/>
        </w:rPr>
        <w:fldChar w:fldCharType="end"/>
      </w:r>
      <w:bookmarkEnd w:id="402"/>
      <w:r w:rsidRPr="00807A92">
        <w:rPr>
          <w:rFonts w:ascii="Times New Roman" w:eastAsia="Times New Roman" w:hAnsi="Times New Roman" w:cs="Times New Roman"/>
          <w:sz w:val="24"/>
          <w:szCs w:val="24"/>
          <w:lang w:eastAsia="it-IT"/>
        </w:rPr>
        <w:t>       C</w:t>
      </w:r>
      <w:r w:rsidRPr="00807A92">
        <w:rPr>
          <w:rFonts w:ascii="Times New Roman" w:eastAsia="Times New Roman" w:hAnsi="Times New Roman" w:cs="Times New Roman"/>
          <w:sz w:val="24"/>
          <w:szCs w:val="24"/>
          <w:lang w:eastAsia="it-IT"/>
        </w:rPr>
        <w:noBreakHyphen/>
        <w:t>495/03, EU:C:2005:215, point 99.</w:t>
      </w:r>
    </w:p>
    <w:p w14:paraId="662F786F"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pict w14:anchorId="403D2D32">
          <v:rect id="_x0000_i90021" style="width:0;height:1.5pt" o:hralign="center" o:hrstd="t" o:hr="t" fillcolor="#a0a0a0" stroked="f"/>
        </w:pict>
      </w:r>
    </w:p>
    <w:bookmarkStart w:id="403" w:name="Footnote78"/>
    <w:p w14:paraId="462C269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"Footref78"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78</w:t>
      </w:r>
      <w:r w:rsidRPr="00807A92">
        <w:rPr>
          <w:rFonts w:ascii="Times New Roman" w:eastAsia="Times New Roman" w:hAnsi="Times New Roman" w:cs="Times New Roman"/>
          <w:sz w:val="24"/>
          <w:szCs w:val="24"/>
          <w:lang w:eastAsia="it-IT"/>
        </w:rPr>
        <w:fldChar w:fldCharType="end"/>
      </w:r>
      <w:bookmarkEnd w:id="403"/>
      <w:r w:rsidRPr="00807A92">
        <w:rPr>
          <w:rFonts w:ascii="Times New Roman" w:eastAsia="Times New Roman" w:hAnsi="Times New Roman" w:cs="Times New Roman"/>
          <w:sz w:val="24"/>
          <w:szCs w:val="24"/>
          <w:lang w:eastAsia="it-IT"/>
        </w:rPr>
        <w:t xml:space="preserve">      Ibid., point 100. </w:t>
      </w:r>
    </w:p>
    <w:p w14:paraId="26D1811E"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5FBA17F">
          <v:rect id="_x0000_i90022" style="width:0;height:1.5pt" o:hralign="center" o:hrstd="t" o:hr="t" fillcolor="#a0a0a0" stroked="f"/>
        </w:pict>
      </w:r>
    </w:p>
    <w:bookmarkStart w:id="404" w:name="Footnote79"/>
    <w:p w14:paraId="4E5324F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"Footref79"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79</w:t>
      </w:r>
      <w:r w:rsidRPr="00807A92">
        <w:rPr>
          <w:rFonts w:ascii="Times New Roman" w:eastAsia="Times New Roman" w:hAnsi="Times New Roman" w:cs="Times New Roman"/>
          <w:sz w:val="24"/>
          <w:szCs w:val="24"/>
          <w:lang w:eastAsia="it-IT"/>
        </w:rPr>
        <w:fldChar w:fldCharType="end"/>
      </w:r>
      <w:bookmarkEnd w:id="404"/>
      <w:r w:rsidRPr="00807A92">
        <w:rPr>
          <w:rFonts w:ascii="Times New Roman" w:eastAsia="Times New Roman" w:hAnsi="Times New Roman" w:cs="Times New Roman"/>
          <w:sz w:val="24"/>
          <w:szCs w:val="24"/>
          <w:lang w:eastAsia="it-IT"/>
        </w:rPr>
        <w:t xml:space="preserve">      Opinion of Advocate General Ruiz-Jarabo Colomer in </w:t>
      </w:r>
      <w:r w:rsidRPr="00807A92">
        <w:rPr>
          <w:rFonts w:ascii="Times New Roman" w:eastAsia="Times New Roman" w:hAnsi="Times New Roman" w:cs="Times New Roman"/>
          <w:i/>
          <w:iCs/>
          <w:sz w:val="24"/>
          <w:szCs w:val="24"/>
          <w:lang w:eastAsia="it-IT"/>
        </w:rPr>
        <w:t>Gaston Schul Douane</w:t>
      </w:r>
      <w:r w:rsidRPr="00807A92">
        <w:rPr>
          <w:rFonts w:ascii="Times New Roman" w:eastAsia="Times New Roman" w:hAnsi="Times New Roman" w:cs="Times New Roman"/>
          <w:sz w:val="24"/>
          <w:szCs w:val="24"/>
          <w:lang w:eastAsia="it-IT"/>
        </w:rPr>
        <w:noBreakHyphen/>
      </w:r>
      <w:r w:rsidRPr="00807A92">
        <w:rPr>
          <w:rFonts w:ascii="Times New Roman" w:eastAsia="Times New Roman" w:hAnsi="Times New Roman" w:cs="Times New Roman"/>
          <w:i/>
          <w:iCs/>
          <w:sz w:val="24"/>
          <w:szCs w:val="24"/>
          <w:lang w:eastAsia="it-IT"/>
        </w:rPr>
        <w:t xml:space="preserve">expediteur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 xml:space="preserve">461/03, EU:C:2005:415, point 52). </w:t>
      </w:r>
    </w:p>
    <w:p w14:paraId="66BD824D"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216F3FCF">
          <v:rect id="_x0000_i90023" style="width:0;height:1.5pt" o:hralign="center" o:hrstd="t" o:hr="t" fillcolor="#a0a0a0" stroked="f"/>
        </w:pict>
      </w:r>
    </w:p>
    <w:bookmarkStart w:id="405" w:name="Footnote80"/>
    <w:p w14:paraId="0F3C9FC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"Footref80"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80</w:t>
      </w:r>
      <w:r w:rsidRPr="00807A92">
        <w:rPr>
          <w:rFonts w:ascii="Times New Roman" w:eastAsia="Times New Roman" w:hAnsi="Times New Roman" w:cs="Times New Roman"/>
          <w:sz w:val="24"/>
          <w:szCs w:val="24"/>
          <w:lang w:eastAsia="it-IT"/>
        </w:rPr>
        <w:fldChar w:fldCharType="end"/>
      </w:r>
      <w:bookmarkEnd w:id="405"/>
      <w:r w:rsidRPr="00807A92">
        <w:rPr>
          <w:rFonts w:ascii="Times New Roman" w:eastAsia="Times New Roman" w:hAnsi="Times New Roman" w:cs="Times New Roman"/>
          <w:sz w:val="24"/>
          <w:szCs w:val="24"/>
          <w:lang w:eastAsia="it-IT"/>
        </w:rPr>
        <w:t>      Joined Cases C</w:t>
      </w:r>
      <w:r w:rsidRPr="00807A92">
        <w:rPr>
          <w:rFonts w:ascii="Times New Roman" w:eastAsia="Times New Roman" w:hAnsi="Times New Roman" w:cs="Times New Roman"/>
          <w:sz w:val="24"/>
          <w:szCs w:val="24"/>
          <w:lang w:eastAsia="it-IT"/>
        </w:rPr>
        <w:noBreakHyphen/>
        <w:t>72/14 and C</w:t>
      </w:r>
      <w:r w:rsidRPr="00807A92">
        <w:rPr>
          <w:rFonts w:ascii="Times New Roman" w:eastAsia="Times New Roman" w:hAnsi="Times New Roman" w:cs="Times New Roman"/>
          <w:sz w:val="24"/>
          <w:szCs w:val="24"/>
          <w:lang w:eastAsia="it-IT"/>
        </w:rPr>
        <w:noBreakHyphen/>
        <w:t xml:space="preserve">197/14, EU:C:2015:319, point 69. </w:t>
      </w:r>
    </w:p>
    <w:p w14:paraId="23C9C2E0"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3EFA44B">
          <v:rect id="_x0000_i90024" style="width:0;height:1.5pt" o:hralign="center" o:hrstd="t" o:hr="t" fillcolor="#a0a0a0" stroked="f"/>
        </w:pict>
      </w:r>
    </w:p>
    <w:bookmarkStart w:id="406" w:name="Footnote81"/>
    <w:p w14:paraId="0E45C65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"Footref81"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81</w:t>
      </w:r>
      <w:r w:rsidRPr="00807A92">
        <w:rPr>
          <w:rFonts w:ascii="Times New Roman" w:eastAsia="Times New Roman" w:hAnsi="Times New Roman" w:cs="Times New Roman"/>
          <w:sz w:val="24"/>
          <w:szCs w:val="24"/>
          <w:lang w:eastAsia="it-IT"/>
        </w:rPr>
        <w:fldChar w:fldCharType="end"/>
      </w:r>
      <w:bookmarkEnd w:id="406"/>
      <w:r w:rsidRPr="00807A92">
        <w:rPr>
          <w:rFonts w:ascii="Times New Roman" w:eastAsia="Times New Roman" w:hAnsi="Times New Roman" w:cs="Times New Roman"/>
          <w:sz w:val="24"/>
          <w:szCs w:val="24"/>
          <w:lang w:eastAsia="it-IT"/>
        </w:rPr>
        <w:t>      Ibid., point 62.</w:t>
      </w:r>
    </w:p>
    <w:p w14:paraId="25D6F5F0"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5B7E9EA5">
          <v:rect id="_x0000_i90025" style="width:0;height:1.5pt" o:hralign="center" o:hrstd="t" o:hr="t" fillcolor="#a0a0a0" stroked="f"/>
        </w:pict>
      </w:r>
    </w:p>
    <w:bookmarkStart w:id="407" w:name="Footnote82"/>
    <w:p w14:paraId="42A5B51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"Footref82"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82</w:t>
      </w:r>
      <w:r w:rsidRPr="00807A92">
        <w:rPr>
          <w:rFonts w:ascii="Times New Roman" w:eastAsia="Times New Roman" w:hAnsi="Times New Roman" w:cs="Times New Roman"/>
          <w:sz w:val="24"/>
          <w:szCs w:val="24"/>
          <w:lang w:eastAsia="it-IT"/>
        </w:rPr>
        <w:fldChar w:fldCharType="end"/>
      </w:r>
      <w:bookmarkEnd w:id="407"/>
      <w:r w:rsidRPr="00807A92">
        <w:rPr>
          <w:rFonts w:ascii="Times New Roman" w:eastAsia="Times New Roman" w:hAnsi="Times New Roman" w:cs="Times New Roman"/>
          <w:sz w:val="24"/>
          <w:szCs w:val="24"/>
          <w:lang w:eastAsia="it-IT"/>
        </w:rPr>
        <w:t xml:space="preserve">      See above, point 81 of this Opinion. </w:t>
      </w:r>
    </w:p>
    <w:p w14:paraId="6A219A22"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23991222">
          <v:rect id="_x0000_i90026" style="width:0;height:1.5pt" o:hralign="center" o:hrstd="t" o:hr="t" fillcolor="#a0a0a0" stroked="f"/>
        </w:pict>
      </w:r>
    </w:p>
    <w:bookmarkStart w:id="408" w:name="Footnote83"/>
    <w:p w14:paraId="2622F59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"Footref83"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83</w:t>
      </w:r>
      <w:r w:rsidRPr="00807A92">
        <w:rPr>
          <w:rFonts w:ascii="Times New Roman" w:eastAsia="Times New Roman" w:hAnsi="Times New Roman" w:cs="Times New Roman"/>
          <w:sz w:val="24"/>
          <w:szCs w:val="24"/>
          <w:lang w:eastAsia="it-IT"/>
        </w:rPr>
        <w:fldChar w:fldCharType="end"/>
      </w:r>
      <w:bookmarkEnd w:id="408"/>
      <w:r w:rsidRPr="00807A92">
        <w:rPr>
          <w:rFonts w:ascii="Times New Roman" w:eastAsia="Times New Roman" w:hAnsi="Times New Roman" w:cs="Times New Roman"/>
          <w:sz w:val="24"/>
          <w:szCs w:val="24"/>
          <w:lang w:eastAsia="it-IT"/>
        </w:rPr>
        <w:t xml:space="preserve">      For comparative examples, see, for instance, the various national reports to the 18th Colloquium of the Association of the Councils of State and Supreme Administrative Jurisdictions of the European Union in Helsinki, 20 and 21 May 2002, on the subject ‘The Preliminary Reference to the Court of Justice of the European Communities’ (http://www.aca-europe.eu/index.php/en/colloques-top-en/240-18th-colloquium-in-helsinki-from-20-to-21-may-2002); Research Note No 19/004 of May 2019 compiled by the Directorate-General for Library, Research and Documentation of the Court of Justice concerning the ‘Application of the Cilfit case-law by national courts or tribunals against whose decisions there is no judicial remedy under national law’ (https://curia.europa.eu/jcms/upload/docs/application/pdf/2020-01/ndr-cilfit_synthese_en.pdf); or Fenger, N., and Broberg, M., ‘Finding Light in the Darkness: On The Actual Application of the </w:t>
      </w:r>
      <w:r w:rsidRPr="00807A92">
        <w:rPr>
          <w:rFonts w:ascii="Times New Roman" w:eastAsia="Times New Roman" w:hAnsi="Times New Roman" w:cs="Times New Roman"/>
          <w:i/>
          <w:iCs/>
          <w:sz w:val="24"/>
          <w:szCs w:val="24"/>
          <w:lang w:eastAsia="it-IT"/>
        </w:rPr>
        <w:t>Acte Clair</w:t>
      </w:r>
      <w:r w:rsidRPr="00807A92">
        <w:rPr>
          <w:rFonts w:ascii="Times New Roman" w:eastAsia="Times New Roman" w:hAnsi="Times New Roman" w:cs="Times New Roman"/>
          <w:sz w:val="24"/>
          <w:szCs w:val="24"/>
          <w:lang w:eastAsia="it-IT"/>
        </w:rPr>
        <w:t xml:space="preserve"> Doctrine’, </w:t>
      </w:r>
      <w:r w:rsidRPr="00807A92">
        <w:rPr>
          <w:rFonts w:ascii="Times New Roman" w:eastAsia="Times New Roman" w:hAnsi="Times New Roman" w:cs="Times New Roman"/>
          <w:i/>
          <w:iCs/>
          <w:sz w:val="24"/>
          <w:szCs w:val="24"/>
          <w:lang w:eastAsia="it-IT"/>
        </w:rPr>
        <w:t>Yearbook of European Law</w:t>
      </w:r>
      <w:r w:rsidRPr="00807A92">
        <w:rPr>
          <w:rFonts w:ascii="Times New Roman" w:eastAsia="Times New Roman" w:hAnsi="Times New Roman" w:cs="Times New Roman"/>
          <w:sz w:val="24"/>
          <w:szCs w:val="24"/>
          <w:lang w:eastAsia="it-IT"/>
        </w:rPr>
        <w:t xml:space="preserve">, vol. 30, No. 1, 2011, p. 180. </w:t>
      </w:r>
    </w:p>
    <w:p w14:paraId="2633DF79"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259754C">
          <v:rect id="_x0000_i90027" style="width:0;height:1.5pt" o:hralign="center" o:hrstd="t" o:hr="t" fillcolor="#a0a0a0" stroked="f"/>
        </w:pict>
      </w:r>
    </w:p>
    <w:bookmarkStart w:id="409" w:name="Footnote84"/>
    <w:p w14:paraId="2F10DAF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"Footref84"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84</w:t>
      </w:r>
      <w:r w:rsidRPr="00807A92">
        <w:rPr>
          <w:rFonts w:ascii="Times New Roman" w:eastAsia="Times New Roman" w:hAnsi="Times New Roman" w:cs="Times New Roman"/>
          <w:sz w:val="24"/>
          <w:szCs w:val="24"/>
          <w:lang w:eastAsia="it-IT"/>
        </w:rPr>
        <w:fldChar w:fldCharType="end"/>
      </w:r>
      <w:bookmarkEnd w:id="409"/>
      <w:r w:rsidRPr="00807A92">
        <w:rPr>
          <w:rFonts w:ascii="Times New Roman" w:eastAsia="Times New Roman" w:hAnsi="Times New Roman" w:cs="Times New Roman"/>
          <w:sz w:val="24"/>
          <w:szCs w:val="24"/>
          <w:lang w:eastAsia="it-IT"/>
        </w:rPr>
        <w:t xml:space="preserve">      Leading ultimately to using the concept of ‘no reasonable doubt’, but modified as to its content. See, for example, in Cyprus, Anotato Dikastirio (Supreme Court), </w:t>
      </w:r>
      <w:r w:rsidRPr="00807A92">
        <w:rPr>
          <w:rFonts w:ascii="Times New Roman" w:eastAsia="Times New Roman" w:hAnsi="Times New Roman" w:cs="Times New Roman"/>
          <w:i/>
          <w:iCs/>
          <w:sz w:val="24"/>
          <w:szCs w:val="24"/>
          <w:lang w:eastAsia="it-IT"/>
        </w:rPr>
        <w:t>Cypra Limited v. Kipriakis Dimokratias</w:t>
      </w:r>
      <w:r w:rsidRPr="00807A92">
        <w:rPr>
          <w:rFonts w:ascii="Times New Roman" w:eastAsia="Times New Roman" w:hAnsi="Times New Roman" w:cs="Times New Roman"/>
          <w:sz w:val="24"/>
          <w:szCs w:val="24"/>
          <w:lang w:eastAsia="it-IT"/>
        </w:rPr>
        <w:t xml:space="preserve">, appeal 78/2009 of 15 June 2013 (there is a duty to refer only where the EU law at issue is not ‘free from doubts’); in English law, a slightly looser test than the requirement of ‘no reasonable doubt’ was implemented, see </w:t>
      </w:r>
      <w:r w:rsidRPr="00807A92">
        <w:rPr>
          <w:rFonts w:ascii="Times New Roman" w:eastAsia="Times New Roman" w:hAnsi="Times New Roman" w:cs="Times New Roman"/>
          <w:i/>
          <w:iCs/>
          <w:sz w:val="24"/>
          <w:szCs w:val="24"/>
          <w:lang w:eastAsia="it-IT"/>
        </w:rPr>
        <w:t xml:space="preserve">O’Byrne v Aventis Pasteur SA </w:t>
      </w:r>
      <w:r w:rsidRPr="00807A92">
        <w:rPr>
          <w:rFonts w:ascii="Times New Roman" w:eastAsia="Times New Roman" w:hAnsi="Times New Roman" w:cs="Times New Roman"/>
          <w:sz w:val="24"/>
          <w:szCs w:val="24"/>
          <w:lang w:eastAsia="it-IT"/>
        </w:rPr>
        <w:t xml:space="preserve">[2008] UKHL 34 (House of Lords), point 23 (no need to refer when the interpretation of the provision at issue is ‘clear beyond the bounds of reasonable argument’) and </w:t>
      </w:r>
      <w:r w:rsidRPr="00807A92">
        <w:rPr>
          <w:rFonts w:ascii="Times New Roman" w:eastAsia="Times New Roman" w:hAnsi="Times New Roman" w:cs="Times New Roman"/>
          <w:i/>
          <w:iCs/>
          <w:sz w:val="24"/>
          <w:szCs w:val="24"/>
          <w:lang w:eastAsia="it-IT"/>
        </w:rPr>
        <w:t>R. (on the application of Buckinghamshire CC) v Secretary of State for Transport</w:t>
      </w:r>
      <w:r w:rsidRPr="00807A92">
        <w:rPr>
          <w:rFonts w:ascii="Times New Roman" w:eastAsia="Times New Roman" w:hAnsi="Times New Roman" w:cs="Times New Roman"/>
          <w:sz w:val="24"/>
          <w:szCs w:val="24"/>
          <w:lang w:eastAsia="it-IT"/>
        </w:rPr>
        <w:t xml:space="preserve"> [2014] UKSC 3 (Supreme Court), point 127 (no need to refer when the interpretation of the provision at issue is ‘beyond reasonable dispute’).</w:t>
      </w:r>
    </w:p>
    <w:p w14:paraId="34ADA79A"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CF5C15E">
          <v:rect id="_x0000_i90028" style="width:0;height:1.5pt" o:hralign="center" o:hrstd="t" o:hr="t" fillcolor="#a0a0a0" stroked="f"/>
        </w:pict>
      </w:r>
    </w:p>
    <w:bookmarkStart w:id="410" w:name="Footnote85"/>
    <w:p w14:paraId="05037F5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"Footref85"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85</w:t>
      </w:r>
      <w:r w:rsidRPr="00807A92">
        <w:rPr>
          <w:rFonts w:ascii="Times New Roman" w:eastAsia="Times New Roman" w:hAnsi="Times New Roman" w:cs="Times New Roman"/>
          <w:sz w:val="24"/>
          <w:szCs w:val="24"/>
          <w:lang w:eastAsia="it-IT"/>
        </w:rPr>
        <w:fldChar w:fldCharType="end"/>
      </w:r>
      <w:bookmarkEnd w:id="410"/>
      <w:r w:rsidRPr="00807A92">
        <w:rPr>
          <w:rFonts w:ascii="Times New Roman" w:eastAsia="Times New Roman" w:hAnsi="Times New Roman" w:cs="Times New Roman"/>
          <w:sz w:val="24"/>
          <w:szCs w:val="24"/>
          <w:lang w:eastAsia="it-IT"/>
        </w:rPr>
        <w:t>      See, for example, Conseil d’État (Council of State), 1e/6e SSR, judgment of 26 February 2014, n° 354603, ECLI:FR:XX:2014:354603.20140226; Cour de cassation (Court of Cassation), 1e civ., judgment of 11 July 2018, no 17-18177, ECLI:FR:CCASS:2018:C100737. While the former court generally relies on the ‘serious difficulty’ criterion, the latter also uses other criteria.</w:t>
      </w:r>
    </w:p>
    <w:p w14:paraId="7237D4A9"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B082E67">
          <v:rect id="_x0000_i90029" style="width:0;height:1.5pt" o:hralign="center" o:hrstd="t" o:hr="t" fillcolor="#a0a0a0" stroked="f"/>
        </w:pict>
      </w:r>
    </w:p>
    <w:bookmarkStart w:id="411" w:name="Footnote86"/>
    <w:p w14:paraId="62E644D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"Footref86"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86</w:t>
      </w:r>
      <w:r w:rsidRPr="00807A92">
        <w:rPr>
          <w:rFonts w:ascii="Times New Roman" w:eastAsia="Times New Roman" w:hAnsi="Times New Roman" w:cs="Times New Roman"/>
          <w:sz w:val="24"/>
          <w:szCs w:val="24"/>
          <w:lang w:eastAsia="it-IT"/>
        </w:rPr>
        <w:fldChar w:fldCharType="end"/>
      </w:r>
      <w:bookmarkEnd w:id="411"/>
      <w:r w:rsidRPr="00807A92">
        <w:rPr>
          <w:rFonts w:ascii="Times New Roman" w:eastAsia="Times New Roman" w:hAnsi="Times New Roman" w:cs="Times New Roman"/>
          <w:sz w:val="24"/>
          <w:szCs w:val="24"/>
          <w:lang w:eastAsia="it-IT"/>
        </w:rPr>
        <w:t xml:space="preserve">      Where the case raises ‘questions of interpretation of general interest’ (Cypriot Anotato Diskastirio Kyprou (Supreme Court), </w:t>
      </w:r>
      <w:r w:rsidRPr="00807A92">
        <w:rPr>
          <w:rFonts w:ascii="Times New Roman" w:eastAsia="Times New Roman" w:hAnsi="Times New Roman" w:cs="Times New Roman"/>
          <w:i/>
          <w:iCs/>
          <w:sz w:val="24"/>
          <w:szCs w:val="24"/>
          <w:lang w:eastAsia="it-IT"/>
        </w:rPr>
        <w:t>Proedros Tis Demokratias v. Vouli Ton Antiprosopon</w:t>
      </w:r>
      <w:r w:rsidRPr="00807A92">
        <w:rPr>
          <w:rFonts w:ascii="Times New Roman" w:eastAsia="Times New Roman" w:hAnsi="Times New Roman" w:cs="Times New Roman"/>
          <w:sz w:val="24"/>
          <w:szCs w:val="24"/>
          <w:lang w:eastAsia="it-IT"/>
        </w:rPr>
        <w:t xml:space="preserve">, appeal 5/2016 of 5 April 2017); or where a question on interpretation, not on application of EU law is at issue (Maltese Qorti tal-Appell (Court of Appeal), judgment of 26 June 2007, </w:t>
      </w:r>
      <w:r w:rsidRPr="00807A92">
        <w:rPr>
          <w:rFonts w:ascii="Times New Roman" w:eastAsia="Times New Roman" w:hAnsi="Times New Roman" w:cs="Times New Roman"/>
          <w:i/>
          <w:iCs/>
          <w:sz w:val="24"/>
          <w:szCs w:val="24"/>
          <w:lang w:eastAsia="it-IT"/>
        </w:rPr>
        <w:t>GIE Pari Mutuel Urbain (PMU) vs Bell Med Ltd &amp; Computer Aided Technologies Ltd</w:t>
      </w:r>
      <w:r w:rsidRPr="00807A92">
        <w:rPr>
          <w:rFonts w:ascii="Times New Roman" w:eastAsia="Times New Roman" w:hAnsi="Times New Roman" w:cs="Times New Roman"/>
          <w:sz w:val="24"/>
          <w:szCs w:val="24"/>
          <w:lang w:eastAsia="it-IT"/>
        </w:rPr>
        <w:t xml:space="preserve"> (224/2006/1)).</w:t>
      </w:r>
    </w:p>
    <w:p w14:paraId="36ECBAA9"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3E91DFB">
          <v:rect id="_x0000_i90030" style="width:0;height:1.5pt" o:hralign="center" o:hrstd="t" o:hr="t" fillcolor="#a0a0a0" stroked="f"/>
        </w:pict>
      </w:r>
    </w:p>
    <w:bookmarkStart w:id="412" w:name="Footnote87"/>
    <w:p w14:paraId="32C1C03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"Footref87"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87</w:t>
      </w:r>
      <w:r w:rsidRPr="00807A92">
        <w:rPr>
          <w:rFonts w:ascii="Times New Roman" w:eastAsia="Times New Roman" w:hAnsi="Times New Roman" w:cs="Times New Roman"/>
          <w:sz w:val="24"/>
          <w:szCs w:val="24"/>
          <w:lang w:eastAsia="it-IT"/>
        </w:rPr>
        <w:fldChar w:fldCharType="end"/>
      </w:r>
      <w:bookmarkEnd w:id="412"/>
      <w:r w:rsidRPr="00807A92">
        <w:rPr>
          <w:rFonts w:ascii="Times New Roman" w:eastAsia="Times New Roman" w:hAnsi="Times New Roman" w:cs="Times New Roman"/>
          <w:sz w:val="24"/>
          <w:szCs w:val="24"/>
          <w:lang w:eastAsia="it-IT"/>
        </w:rPr>
        <w:t xml:space="preserve">      For a comparative overview, see already Solar, N., </w:t>
      </w:r>
      <w:r w:rsidRPr="00807A92">
        <w:rPr>
          <w:rFonts w:ascii="Times New Roman" w:eastAsia="Times New Roman" w:hAnsi="Times New Roman" w:cs="Times New Roman"/>
          <w:i/>
          <w:iCs/>
          <w:sz w:val="24"/>
          <w:szCs w:val="24"/>
          <w:lang w:eastAsia="it-IT"/>
        </w:rPr>
        <w:t>Vorlagepflichtverletzung mitgliedstaatlicher Gerichte und ihre Sanierung</w:t>
      </w:r>
      <w:r w:rsidRPr="00807A92">
        <w:rPr>
          <w:rFonts w:ascii="Times New Roman" w:eastAsia="Times New Roman" w:hAnsi="Times New Roman" w:cs="Times New Roman"/>
          <w:sz w:val="24"/>
          <w:szCs w:val="24"/>
          <w:lang w:eastAsia="it-IT"/>
        </w:rPr>
        <w:t xml:space="preserve">, Neuer Wissenschaftlicher Verlag, Vienna, 2004; or Warnke, M., </w:t>
      </w:r>
      <w:r w:rsidRPr="00807A92">
        <w:rPr>
          <w:rFonts w:ascii="Times New Roman" w:eastAsia="Times New Roman" w:hAnsi="Times New Roman" w:cs="Times New Roman"/>
          <w:i/>
          <w:iCs/>
          <w:sz w:val="24"/>
          <w:szCs w:val="24"/>
          <w:lang w:eastAsia="it-IT"/>
        </w:rPr>
        <w:t>Die Vorlagepflicht nach Art. 234 Abs. 3 EGV in der Rechtsprechungspraxis des BVerfG im Vergleich zu den Verfassungsgerichtsbarkeit der EG-Mitgliedstaaten</w:t>
      </w:r>
      <w:r w:rsidRPr="00807A92">
        <w:rPr>
          <w:rFonts w:ascii="Times New Roman" w:eastAsia="Times New Roman" w:hAnsi="Times New Roman" w:cs="Times New Roman"/>
          <w:sz w:val="24"/>
          <w:szCs w:val="24"/>
          <w:lang w:eastAsia="it-IT"/>
        </w:rPr>
        <w:t xml:space="preserve">, Peter Lang, Frankfurt, 2004. More recently, for example, see the individual country reports in Coutron, L. (dir.), </w:t>
      </w:r>
      <w:r w:rsidRPr="00807A92">
        <w:rPr>
          <w:rFonts w:ascii="Times New Roman" w:eastAsia="Times New Roman" w:hAnsi="Times New Roman" w:cs="Times New Roman"/>
          <w:i/>
          <w:iCs/>
          <w:sz w:val="24"/>
          <w:szCs w:val="24"/>
          <w:lang w:eastAsia="it-IT"/>
        </w:rPr>
        <w:t>L’obligation de renvoi préjudiciel à la Cour de justice: une obligation sanctionnée?</w:t>
      </w:r>
      <w:r w:rsidRPr="00807A92">
        <w:rPr>
          <w:rFonts w:ascii="Times New Roman" w:eastAsia="Times New Roman" w:hAnsi="Times New Roman" w:cs="Times New Roman"/>
          <w:sz w:val="24"/>
          <w:szCs w:val="24"/>
          <w:lang w:eastAsia="it-IT"/>
        </w:rPr>
        <w:t xml:space="preserve">, Bruylant, Brussels, 2014, or the individual contributions in the special issue of 2015, </w:t>
      </w:r>
      <w:r w:rsidRPr="00807A92">
        <w:rPr>
          <w:rFonts w:ascii="Times New Roman" w:eastAsia="Times New Roman" w:hAnsi="Times New Roman" w:cs="Times New Roman"/>
          <w:i/>
          <w:iCs/>
          <w:sz w:val="24"/>
          <w:szCs w:val="24"/>
          <w:lang w:eastAsia="it-IT"/>
        </w:rPr>
        <w:t>German Law Journal</w:t>
      </w:r>
      <w:r w:rsidRPr="00807A92">
        <w:rPr>
          <w:rFonts w:ascii="Times New Roman" w:eastAsia="Times New Roman" w:hAnsi="Times New Roman" w:cs="Times New Roman"/>
          <w:sz w:val="24"/>
          <w:szCs w:val="24"/>
          <w:lang w:eastAsia="it-IT"/>
        </w:rPr>
        <w:t>, vol. 16/6, in particular Lacchi, C., ‘Review by Constitutional Courts of the Obligation of National Courts of Last Instance to Refer a Preliminary Question to the Court of Justice of the EU’, p. 1663.</w:t>
      </w:r>
    </w:p>
    <w:p w14:paraId="4DF790C9"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212FE3B4">
          <v:rect id="_x0000_i90031" style="width:0;height:1.5pt" o:hralign="center" o:hrstd="t" o:hr="t" fillcolor="#a0a0a0" stroked="f"/>
        </w:pict>
      </w:r>
    </w:p>
    <w:bookmarkStart w:id="413" w:name="Footnote88"/>
    <w:p w14:paraId="2D7A5F9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"Footref88"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88</w:t>
      </w:r>
      <w:r w:rsidRPr="00807A92">
        <w:rPr>
          <w:rFonts w:ascii="Times New Roman" w:eastAsia="Times New Roman" w:hAnsi="Times New Roman" w:cs="Times New Roman"/>
          <w:sz w:val="24"/>
          <w:szCs w:val="24"/>
          <w:lang w:eastAsia="it-IT"/>
        </w:rPr>
        <w:fldChar w:fldCharType="end"/>
      </w:r>
      <w:bookmarkEnd w:id="413"/>
      <w:r w:rsidRPr="00807A92">
        <w:rPr>
          <w:rFonts w:ascii="Times New Roman" w:eastAsia="Times New Roman" w:hAnsi="Times New Roman" w:cs="Times New Roman"/>
          <w:sz w:val="24"/>
          <w:szCs w:val="24"/>
          <w:lang w:eastAsia="it-IT"/>
        </w:rPr>
        <w:t>      For illustrations, see for example in Germany, Bundesverfassungsgericht (Federal Constitutional Court), order of 9 May 2018 – 2 BvR 37/18; in Spain, Tribunal Constitucional (Constitutional Court), 19 April 2004, STC 58/2004 (ECLI:ES:TC:2004:58); in the Czech Republic, Ústavní soud (Constitutional Court), 8 January 2009, No II. ÚS 1009/08; in Croatia, Ustavni sud Republike Hrvatske (Constitutional Court of the Republic of Croatia), decision No U-III-2521/2015 of 13 December 2016; in Slovakia, Ústavný súd (Constitutional Court), judgment of 18 April 2012, No II. ÚS 140/2010; in Slovenia, Ustavno sodišče (Constitutional Court), decision No Up-1056/11 of 21 November 2013, ECLI:SI:USRS:2013:Up.1056.11.</w:t>
      </w:r>
    </w:p>
    <w:p w14:paraId="4AB0EA68"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53F28BD">
          <v:rect id="_x0000_i90032" style="width:0;height:1.5pt" o:hralign="center" o:hrstd="t" o:hr="t" fillcolor="#a0a0a0" stroked="f"/>
        </w:pict>
      </w:r>
    </w:p>
    <w:bookmarkStart w:id="414" w:name="Footnote89"/>
    <w:p w14:paraId="001D827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"Footref89"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89</w:t>
      </w:r>
      <w:r w:rsidRPr="00807A92">
        <w:rPr>
          <w:rFonts w:ascii="Times New Roman" w:eastAsia="Times New Roman" w:hAnsi="Times New Roman" w:cs="Times New Roman"/>
          <w:sz w:val="24"/>
          <w:szCs w:val="24"/>
          <w:lang w:eastAsia="it-IT"/>
        </w:rPr>
        <w:fldChar w:fldCharType="end"/>
      </w:r>
      <w:bookmarkEnd w:id="414"/>
      <w:r w:rsidRPr="00807A92">
        <w:rPr>
          <w:rFonts w:ascii="Times New Roman" w:eastAsia="Times New Roman" w:hAnsi="Times New Roman" w:cs="Times New Roman"/>
          <w:sz w:val="24"/>
          <w:szCs w:val="24"/>
          <w:lang w:eastAsia="it-IT"/>
        </w:rPr>
        <w:t xml:space="preserve">      ECtHR judgment of 8 April 2014, CE:ECHR:2014:0408JUD001712009, § 33. For the most recent findings of violations, see, for example, ECtHR judgment of 16 April 2019, </w:t>
      </w:r>
      <w:r w:rsidRPr="00807A92">
        <w:rPr>
          <w:rFonts w:ascii="Times New Roman" w:eastAsia="Times New Roman" w:hAnsi="Times New Roman" w:cs="Times New Roman"/>
          <w:i/>
          <w:iCs/>
          <w:sz w:val="24"/>
          <w:szCs w:val="24"/>
          <w:lang w:eastAsia="it-IT"/>
        </w:rPr>
        <w:t>Baltic Master v. Lithuania</w:t>
      </w:r>
      <w:r w:rsidRPr="00807A92">
        <w:rPr>
          <w:rFonts w:ascii="Times New Roman" w:eastAsia="Times New Roman" w:hAnsi="Times New Roman" w:cs="Times New Roman"/>
          <w:sz w:val="24"/>
          <w:szCs w:val="24"/>
          <w:lang w:eastAsia="it-IT"/>
        </w:rPr>
        <w:t xml:space="preserve">,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 xml:space="preserve">CE:ECHR:2019:0416JUD005509216, §§ 36 to 38; ECtHR judgment of 13 February 2020, </w:t>
      </w:r>
      <w:r w:rsidRPr="00807A92">
        <w:rPr>
          <w:rFonts w:ascii="Times New Roman" w:eastAsia="Times New Roman" w:hAnsi="Times New Roman" w:cs="Times New Roman"/>
          <w:i/>
          <w:iCs/>
          <w:sz w:val="24"/>
          <w:szCs w:val="24"/>
          <w:lang w:eastAsia="it-IT"/>
        </w:rPr>
        <w:t>Sanofi Pasteur v. France</w:t>
      </w:r>
      <w:r w:rsidRPr="00807A92">
        <w:rPr>
          <w:rFonts w:ascii="Times New Roman" w:eastAsia="Times New Roman" w:hAnsi="Times New Roman" w:cs="Times New Roman"/>
          <w:sz w:val="24"/>
          <w:szCs w:val="24"/>
          <w:lang w:eastAsia="it-IT"/>
        </w:rPr>
        <w:t>, CE:ECHR:2020:0213JUD002513716, § 81.</w:t>
      </w:r>
    </w:p>
    <w:p w14:paraId="07237557"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230AA4EB">
          <v:rect id="_x0000_i90033" style="width:0;height:1.5pt" o:hralign="center" o:hrstd="t" o:hr="t" fillcolor="#a0a0a0" stroked="f"/>
        </w:pict>
      </w:r>
    </w:p>
    <w:bookmarkStart w:id="415" w:name="Footnote90"/>
    <w:p w14:paraId="7659371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"Footref90"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90</w:t>
      </w:r>
      <w:r w:rsidRPr="00807A92">
        <w:rPr>
          <w:rFonts w:ascii="Times New Roman" w:eastAsia="Times New Roman" w:hAnsi="Times New Roman" w:cs="Times New Roman"/>
          <w:sz w:val="24"/>
          <w:szCs w:val="24"/>
          <w:lang w:eastAsia="it-IT"/>
        </w:rPr>
        <w:fldChar w:fldCharType="end"/>
      </w:r>
      <w:bookmarkEnd w:id="415"/>
      <w:r w:rsidRPr="00807A92">
        <w:rPr>
          <w:rFonts w:ascii="Times New Roman" w:eastAsia="Times New Roman" w:hAnsi="Times New Roman" w:cs="Times New Roman"/>
          <w:sz w:val="24"/>
          <w:szCs w:val="24"/>
          <w:lang w:eastAsia="it-IT"/>
        </w:rPr>
        <w:t xml:space="preserve">      ECtHR judgments of 24 April 2018, </w:t>
      </w:r>
      <w:r w:rsidRPr="00807A92">
        <w:rPr>
          <w:rFonts w:ascii="Times New Roman" w:eastAsia="Times New Roman" w:hAnsi="Times New Roman" w:cs="Times New Roman"/>
          <w:i/>
          <w:iCs/>
          <w:sz w:val="24"/>
          <w:szCs w:val="24"/>
          <w:lang w:eastAsia="it-IT"/>
        </w:rPr>
        <w:t>Baydar v. The Netherlands</w:t>
      </w:r>
      <w:r w:rsidRPr="00807A92">
        <w:rPr>
          <w:rFonts w:ascii="Times New Roman" w:eastAsia="Times New Roman" w:hAnsi="Times New Roman" w:cs="Times New Roman"/>
          <w:sz w:val="24"/>
          <w:szCs w:val="24"/>
          <w:lang w:eastAsia="it-IT"/>
        </w:rPr>
        <w:t xml:space="preserve">,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No. CE:ECHR:2018:0424JUD005538514, § 43.</w:t>
      </w:r>
    </w:p>
    <w:p w14:paraId="57A437B4"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6A657F12">
          <v:rect id="_x0000_i90034" style="width:0;height:1.5pt" o:hralign="center" o:hrstd="t" o:hr="t" fillcolor="#a0a0a0" stroked="f"/>
        </w:pict>
      </w:r>
    </w:p>
    <w:bookmarkStart w:id="416" w:name="Footnote91"/>
    <w:p w14:paraId="51F9DFC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"Footref91"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91</w:t>
      </w:r>
      <w:r w:rsidRPr="00807A92">
        <w:rPr>
          <w:rFonts w:ascii="Times New Roman" w:eastAsia="Times New Roman" w:hAnsi="Times New Roman" w:cs="Times New Roman"/>
          <w:sz w:val="24"/>
          <w:szCs w:val="24"/>
          <w:lang w:eastAsia="it-IT"/>
        </w:rPr>
        <w:fldChar w:fldCharType="end"/>
      </w:r>
      <w:bookmarkEnd w:id="416"/>
      <w:r w:rsidRPr="00807A92">
        <w:rPr>
          <w:rFonts w:ascii="Times New Roman" w:eastAsia="Times New Roman" w:hAnsi="Times New Roman" w:cs="Times New Roman"/>
          <w:sz w:val="24"/>
          <w:szCs w:val="24"/>
          <w:lang w:eastAsia="it-IT"/>
        </w:rPr>
        <w:t xml:space="preserve">      ECtHR judgments of 20 September 2011, </w:t>
      </w:r>
      <w:r w:rsidRPr="00807A92">
        <w:rPr>
          <w:rFonts w:ascii="Times New Roman" w:eastAsia="Times New Roman" w:hAnsi="Times New Roman" w:cs="Times New Roman"/>
          <w:i/>
          <w:iCs/>
          <w:sz w:val="24"/>
          <w:szCs w:val="24"/>
          <w:lang w:eastAsia="it-IT"/>
        </w:rPr>
        <w:t>Ullens de Schooten and Rezabek v. Belgium</w:t>
      </w:r>
      <w:r w:rsidRPr="00807A92">
        <w:rPr>
          <w:rFonts w:ascii="Times New Roman" w:eastAsia="Times New Roman" w:hAnsi="Times New Roman" w:cs="Times New Roman"/>
          <w:sz w:val="24"/>
          <w:szCs w:val="24"/>
          <w:lang w:eastAsia="it-IT"/>
        </w:rPr>
        <w:t xml:space="preserve">,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 xml:space="preserve">CE:ECHR:2011:0929JUD000398907 and 3835307, § 62; and of 10 April 2012, </w:t>
      </w:r>
      <w:r w:rsidRPr="00807A92">
        <w:rPr>
          <w:rFonts w:ascii="Times New Roman" w:eastAsia="Times New Roman" w:hAnsi="Times New Roman" w:cs="Times New Roman"/>
          <w:i/>
          <w:iCs/>
          <w:sz w:val="24"/>
          <w:szCs w:val="24"/>
          <w:lang w:eastAsia="it-IT"/>
        </w:rPr>
        <w:t>Vergauwen and Others v. Belgium</w:t>
      </w:r>
      <w:r w:rsidRPr="00807A92">
        <w:rPr>
          <w:rFonts w:ascii="Times New Roman" w:eastAsia="Times New Roman" w:hAnsi="Times New Roman" w:cs="Times New Roman"/>
          <w:sz w:val="24"/>
          <w:szCs w:val="24"/>
          <w:lang w:eastAsia="it-IT"/>
        </w:rPr>
        <w:t>, CE:ECHR:2012:0410JUD00483204, §§ 89 and 90.</w:t>
      </w:r>
    </w:p>
    <w:p w14:paraId="7A0A20D7"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52C8BC1D">
          <v:rect id="_x0000_i90035" style="width:0;height:1.5pt" o:hralign="center" o:hrstd="t" o:hr="t" fillcolor="#a0a0a0" stroked="f"/>
        </w:pict>
      </w:r>
    </w:p>
    <w:bookmarkStart w:id="417" w:name="Footnote92"/>
    <w:p w14:paraId="719AD29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"Footref92"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92</w:t>
      </w:r>
      <w:r w:rsidRPr="00807A92">
        <w:rPr>
          <w:rFonts w:ascii="Times New Roman" w:eastAsia="Times New Roman" w:hAnsi="Times New Roman" w:cs="Times New Roman"/>
          <w:sz w:val="24"/>
          <w:szCs w:val="24"/>
          <w:lang w:eastAsia="it-IT"/>
        </w:rPr>
        <w:fldChar w:fldCharType="end"/>
      </w:r>
      <w:bookmarkEnd w:id="417"/>
      <w:r w:rsidRPr="00807A92">
        <w:rPr>
          <w:rFonts w:ascii="Times New Roman" w:eastAsia="Times New Roman" w:hAnsi="Times New Roman" w:cs="Times New Roman"/>
          <w:sz w:val="24"/>
          <w:szCs w:val="24"/>
          <w:lang w:eastAsia="it-IT"/>
        </w:rPr>
        <w:t>      In 1975, in a report, the Court suggested the creation of an appropriate remedy for infringement of the then Article 177 EEC either by means of a direct application to the Court by the parties to the main action or by means of an obligatory action for default or, finally, by an action for damages against the state concerned at the suit of the party adversely affected (Reports on European Union, Bulletin of the European Communities (Supplement 9/75, p. 18)).</w:t>
      </w:r>
    </w:p>
    <w:p w14:paraId="5B8EAA46"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9E597EC">
          <v:rect id="_x0000_i90036" style="width:0;height:1.5pt" o:hralign="center" o:hrstd="t" o:hr="t" fillcolor="#a0a0a0" stroked="f"/>
        </w:pict>
      </w:r>
    </w:p>
    <w:bookmarkStart w:id="418" w:name="Footnote93"/>
    <w:p w14:paraId="0B27262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"Footref93"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93</w:t>
      </w:r>
      <w:r w:rsidRPr="00807A92">
        <w:rPr>
          <w:rFonts w:ascii="Times New Roman" w:eastAsia="Times New Roman" w:hAnsi="Times New Roman" w:cs="Times New Roman"/>
          <w:sz w:val="24"/>
          <w:szCs w:val="24"/>
          <w:lang w:eastAsia="it-IT"/>
        </w:rPr>
        <w:fldChar w:fldCharType="end"/>
      </w:r>
      <w:bookmarkEnd w:id="418"/>
      <w:r w:rsidRPr="00807A92">
        <w:rPr>
          <w:rFonts w:ascii="Times New Roman" w:eastAsia="Times New Roman" w:hAnsi="Times New Roman" w:cs="Times New Roman"/>
          <w:sz w:val="24"/>
          <w:szCs w:val="24"/>
          <w:lang w:eastAsia="it-IT"/>
        </w:rPr>
        <w:t>      See, to that effect, judgment of 18 July 2013, Consiglio Nazionale dei Geologi (C</w:t>
      </w:r>
      <w:r w:rsidRPr="00807A92">
        <w:rPr>
          <w:rFonts w:ascii="Times New Roman" w:eastAsia="Times New Roman" w:hAnsi="Times New Roman" w:cs="Times New Roman"/>
          <w:sz w:val="24"/>
          <w:szCs w:val="24"/>
          <w:lang w:eastAsia="it-IT"/>
        </w:rPr>
        <w:noBreakHyphen/>
        <w:t xml:space="preserve">136/12, EU:C:2013:489, paragraph 28 and the case-law cited). </w:t>
      </w:r>
    </w:p>
    <w:p w14:paraId="77EFA77E"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8022E72">
          <v:rect id="_x0000_i90037" style="width:0;height:1.5pt" o:hralign="center" o:hrstd="t" o:hr="t" fillcolor="#a0a0a0" stroked="f"/>
        </w:pict>
      </w:r>
    </w:p>
    <w:bookmarkStart w:id="419" w:name="Footnote94"/>
    <w:p w14:paraId="3FF97A3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"Footref94"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94</w:t>
      </w:r>
      <w:r w:rsidRPr="00807A92">
        <w:rPr>
          <w:rFonts w:ascii="Times New Roman" w:eastAsia="Times New Roman" w:hAnsi="Times New Roman" w:cs="Times New Roman"/>
          <w:sz w:val="24"/>
          <w:szCs w:val="24"/>
          <w:lang w:eastAsia="it-IT"/>
        </w:rPr>
        <w:fldChar w:fldCharType="end"/>
      </w:r>
      <w:bookmarkEnd w:id="419"/>
      <w:r w:rsidRPr="00807A92">
        <w:rPr>
          <w:rFonts w:ascii="Times New Roman" w:eastAsia="Times New Roman" w:hAnsi="Times New Roman" w:cs="Times New Roman"/>
          <w:sz w:val="24"/>
          <w:szCs w:val="24"/>
          <w:lang w:eastAsia="it-IT"/>
        </w:rPr>
        <w:t>      Outlined above, in point 106 of this Opinion.</w:t>
      </w:r>
    </w:p>
    <w:p w14:paraId="60D384E6"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6BCB30B">
          <v:rect id="_x0000_i90038" style="width:0;height:1.5pt" o:hralign="center" o:hrstd="t" o:hr="t" fillcolor="#a0a0a0" stroked="f"/>
        </w:pict>
      </w:r>
    </w:p>
    <w:bookmarkStart w:id="420" w:name="Footnote95"/>
    <w:p w14:paraId="2D9E465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"Footref95"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95</w:t>
      </w:r>
      <w:r w:rsidRPr="00807A92">
        <w:rPr>
          <w:rFonts w:ascii="Times New Roman" w:eastAsia="Times New Roman" w:hAnsi="Times New Roman" w:cs="Times New Roman"/>
          <w:sz w:val="24"/>
          <w:szCs w:val="24"/>
          <w:lang w:eastAsia="it-IT"/>
        </w:rPr>
        <w:fldChar w:fldCharType="end"/>
      </w:r>
      <w:bookmarkEnd w:id="420"/>
      <w:r w:rsidRPr="00807A92">
        <w:rPr>
          <w:rFonts w:ascii="Times New Roman" w:eastAsia="Times New Roman" w:hAnsi="Times New Roman" w:cs="Times New Roman"/>
          <w:sz w:val="24"/>
          <w:szCs w:val="24"/>
          <w:lang w:eastAsia="it-IT"/>
        </w:rPr>
        <w:t xml:space="preserve">      See above, points 108 and 109 of this Opinion. </w:t>
      </w:r>
    </w:p>
    <w:p w14:paraId="2BFE63AF"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02D6891">
          <v:rect id="_x0000_i90039" style="width:0;height:1.5pt" o:hralign="center" o:hrstd="t" o:hr="t" fillcolor="#a0a0a0" stroked="f"/>
        </w:pict>
      </w:r>
    </w:p>
    <w:bookmarkStart w:id="421" w:name="Footnote96"/>
    <w:p w14:paraId="5942FAC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"Footref96"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96</w:t>
      </w:r>
      <w:r w:rsidRPr="00807A92">
        <w:rPr>
          <w:rFonts w:ascii="Times New Roman" w:eastAsia="Times New Roman" w:hAnsi="Times New Roman" w:cs="Times New Roman"/>
          <w:sz w:val="24"/>
          <w:szCs w:val="24"/>
          <w:lang w:eastAsia="it-IT"/>
        </w:rPr>
        <w:fldChar w:fldCharType="end"/>
      </w:r>
      <w:bookmarkEnd w:id="421"/>
      <w:r w:rsidRPr="00807A92">
        <w:rPr>
          <w:rFonts w:ascii="Times New Roman" w:eastAsia="Times New Roman" w:hAnsi="Times New Roman" w:cs="Times New Roman"/>
          <w:sz w:val="24"/>
          <w:szCs w:val="24"/>
          <w:lang w:eastAsia="it-IT"/>
        </w:rPr>
        <w:t xml:space="preserve">      See, in this regard for instance, Baquero Cruz, J., ‘The Preliminary Rulings Procedure: Cornerstone or Broken Atlas?’ in Baquero Cruz, J., </w:t>
      </w:r>
      <w:r w:rsidRPr="00807A92">
        <w:rPr>
          <w:rFonts w:ascii="Times New Roman" w:eastAsia="Times New Roman" w:hAnsi="Times New Roman" w:cs="Times New Roman"/>
          <w:i/>
          <w:iCs/>
          <w:sz w:val="24"/>
          <w:szCs w:val="24"/>
          <w:lang w:eastAsia="it-IT"/>
        </w:rPr>
        <w:t>What’s Left of the Law of Integration? Decay and Resistance in European Union Law</w:t>
      </w:r>
      <w:r w:rsidRPr="00807A92">
        <w:rPr>
          <w:rFonts w:ascii="Times New Roman" w:eastAsia="Times New Roman" w:hAnsi="Times New Roman" w:cs="Times New Roman"/>
          <w:sz w:val="24"/>
          <w:szCs w:val="24"/>
          <w:lang w:eastAsia="it-IT"/>
        </w:rPr>
        <w:t xml:space="preserve">, Oxford University Press, 2018, pp. 64 and 65. </w:t>
      </w:r>
    </w:p>
    <w:p w14:paraId="799A9135"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91145AA">
          <v:rect id="_x0000_i90040" style="width:0;height:1.5pt" o:hralign="center" o:hrstd="t" o:hr="t" fillcolor="#a0a0a0" stroked="f"/>
        </w:pict>
      </w:r>
    </w:p>
    <w:bookmarkStart w:id="422" w:name="Footnote97"/>
    <w:p w14:paraId="39C188F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"Footref97"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97</w:t>
      </w:r>
      <w:r w:rsidRPr="00807A92">
        <w:rPr>
          <w:rFonts w:ascii="Times New Roman" w:eastAsia="Times New Roman" w:hAnsi="Times New Roman" w:cs="Times New Roman"/>
          <w:sz w:val="24"/>
          <w:szCs w:val="24"/>
          <w:lang w:eastAsia="it-IT"/>
        </w:rPr>
        <w:fldChar w:fldCharType="end"/>
      </w:r>
      <w:bookmarkEnd w:id="422"/>
      <w:r w:rsidRPr="00807A92">
        <w:rPr>
          <w:rFonts w:ascii="Times New Roman" w:eastAsia="Times New Roman" w:hAnsi="Times New Roman" w:cs="Times New Roman"/>
          <w:sz w:val="24"/>
          <w:szCs w:val="24"/>
          <w:lang w:eastAsia="it-IT"/>
        </w:rPr>
        <w:t>      Judgment of 30 September 2003 (C</w:t>
      </w:r>
      <w:r w:rsidRPr="00807A92">
        <w:rPr>
          <w:rFonts w:ascii="Times New Roman" w:eastAsia="Times New Roman" w:hAnsi="Times New Roman" w:cs="Times New Roman"/>
          <w:sz w:val="24"/>
          <w:szCs w:val="24"/>
          <w:lang w:eastAsia="it-IT"/>
        </w:rPr>
        <w:noBreakHyphen/>
        <w:t>224/01, EU:C:2003:513, paragraph 36).</w:t>
      </w:r>
    </w:p>
    <w:p w14:paraId="50AFC54B"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66AA4D11">
          <v:rect id="_x0000_i90041" style="width:0;height:1.5pt" o:hralign="center" o:hrstd="t" o:hr="t" fillcolor="#a0a0a0" stroked="f"/>
        </w:pict>
      </w:r>
    </w:p>
    <w:bookmarkStart w:id="423" w:name="Footnote98"/>
    <w:p w14:paraId="0230A11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"Footref98"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98</w:t>
      </w:r>
      <w:r w:rsidRPr="00807A92">
        <w:rPr>
          <w:rFonts w:ascii="Times New Roman" w:eastAsia="Times New Roman" w:hAnsi="Times New Roman" w:cs="Times New Roman"/>
          <w:sz w:val="24"/>
          <w:szCs w:val="24"/>
          <w:lang w:eastAsia="it-IT"/>
        </w:rPr>
        <w:fldChar w:fldCharType="end"/>
      </w:r>
      <w:bookmarkEnd w:id="423"/>
      <w:r w:rsidRPr="00807A92">
        <w:rPr>
          <w:rFonts w:ascii="Times New Roman" w:eastAsia="Times New Roman" w:hAnsi="Times New Roman" w:cs="Times New Roman"/>
          <w:sz w:val="24"/>
          <w:szCs w:val="24"/>
          <w:lang w:eastAsia="it-IT"/>
        </w:rPr>
        <w:t>      See, for example, judgment of 30 September 2003, Köbler (C</w:t>
      </w:r>
      <w:r w:rsidRPr="00807A92">
        <w:rPr>
          <w:rFonts w:ascii="Times New Roman" w:eastAsia="Times New Roman" w:hAnsi="Times New Roman" w:cs="Times New Roman"/>
          <w:sz w:val="24"/>
          <w:szCs w:val="24"/>
          <w:lang w:eastAsia="it-IT"/>
        </w:rPr>
        <w:noBreakHyphen/>
        <w:t>224/01, EU:C:2003:513, paragraphs 51 and 52); of 28 July 2016, Tomášová (C</w:t>
      </w:r>
      <w:r w:rsidRPr="00807A92">
        <w:rPr>
          <w:rFonts w:ascii="Times New Roman" w:eastAsia="Times New Roman" w:hAnsi="Times New Roman" w:cs="Times New Roman"/>
          <w:sz w:val="24"/>
          <w:szCs w:val="24"/>
          <w:lang w:eastAsia="it-IT"/>
        </w:rPr>
        <w:noBreakHyphen/>
        <w:t>168/15, EU:C:2016:602, paragraphs 22 and 23); and of 29 July 2019, Hochtief Solutions Magyarországi Fióktelepe (C</w:t>
      </w:r>
      <w:r w:rsidRPr="00807A92">
        <w:rPr>
          <w:rFonts w:ascii="Times New Roman" w:eastAsia="Times New Roman" w:hAnsi="Times New Roman" w:cs="Times New Roman"/>
          <w:sz w:val="24"/>
          <w:szCs w:val="24"/>
          <w:lang w:eastAsia="it-IT"/>
        </w:rPr>
        <w:noBreakHyphen/>
        <w:t>620/17, EU:C:2019:630, paragraphs 35 and 36).</w:t>
      </w:r>
    </w:p>
    <w:p w14:paraId="1EA1D1B2"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2E5B7BDD">
          <v:rect id="_x0000_i90042" style="width:0;height:1.5pt" o:hralign="center" o:hrstd="t" o:hr="t" fillcolor="#a0a0a0" stroked="f"/>
        </w:pict>
      </w:r>
    </w:p>
    <w:bookmarkStart w:id="424" w:name="Footnote99"/>
    <w:p w14:paraId="40F64C5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"Footref99"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99</w:t>
      </w:r>
      <w:r w:rsidRPr="00807A92">
        <w:rPr>
          <w:rFonts w:ascii="Times New Roman" w:eastAsia="Times New Roman" w:hAnsi="Times New Roman" w:cs="Times New Roman"/>
          <w:sz w:val="24"/>
          <w:szCs w:val="24"/>
          <w:lang w:eastAsia="it-IT"/>
        </w:rPr>
        <w:fldChar w:fldCharType="end"/>
      </w:r>
      <w:bookmarkEnd w:id="424"/>
      <w:r w:rsidRPr="00807A92">
        <w:rPr>
          <w:rFonts w:ascii="Times New Roman" w:eastAsia="Times New Roman" w:hAnsi="Times New Roman" w:cs="Times New Roman"/>
          <w:sz w:val="24"/>
          <w:szCs w:val="24"/>
          <w:lang w:eastAsia="it-IT"/>
        </w:rPr>
        <w:t>      While they would appear to be applicable – see, to that effect, judgment of 30 September 2003, Köbler (C</w:t>
      </w:r>
      <w:r w:rsidRPr="00807A92">
        <w:rPr>
          <w:rFonts w:ascii="Times New Roman" w:eastAsia="Times New Roman" w:hAnsi="Times New Roman" w:cs="Times New Roman"/>
          <w:sz w:val="24"/>
          <w:szCs w:val="24"/>
          <w:lang w:eastAsia="it-IT"/>
        </w:rPr>
        <w:noBreakHyphen/>
        <w:t>224/01, EU:C:2003:513, paragraph 118).</w:t>
      </w:r>
    </w:p>
    <w:p w14:paraId="43DAA82D"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6AB9C57">
          <v:rect id="_x0000_i90043" style="width:0;height:1.5pt" o:hralign="center" o:hrstd="t" o:hr="t" fillcolor="#a0a0a0" stroked="f"/>
        </w:pict>
      </w:r>
    </w:p>
    <w:bookmarkStart w:id="425" w:name="Footnote100"/>
    <w:p w14:paraId="36729DA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"Footref100"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100</w:t>
      </w:r>
      <w:r w:rsidRPr="00807A92">
        <w:rPr>
          <w:rFonts w:ascii="Times New Roman" w:eastAsia="Times New Roman" w:hAnsi="Times New Roman" w:cs="Times New Roman"/>
          <w:sz w:val="24"/>
          <w:szCs w:val="24"/>
          <w:lang w:eastAsia="it-IT"/>
        </w:rPr>
        <w:fldChar w:fldCharType="end"/>
      </w:r>
      <w:bookmarkEnd w:id="425"/>
      <w:r w:rsidRPr="00807A92">
        <w:rPr>
          <w:rFonts w:ascii="Times New Roman" w:eastAsia="Times New Roman" w:hAnsi="Times New Roman" w:cs="Times New Roman"/>
          <w:sz w:val="24"/>
          <w:szCs w:val="24"/>
          <w:lang w:eastAsia="it-IT"/>
        </w:rPr>
        <w:t xml:space="preserve">      Within which the non-compliance with the obligation to make a reference may be just one of the factors to be taken into account. See, for example, judgments of 30 September 2003, Köbler </w:t>
      </w:r>
      <w:r w:rsidRPr="00807A92">
        <w:rPr>
          <w:rFonts w:ascii="Times New Roman" w:eastAsia="Times New Roman" w:hAnsi="Times New Roman" w:cs="Times New Roman"/>
          <w:sz w:val="24"/>
          <w:szCs w:val="24"/>
          <w:lang w:eastAsia="it-IT"/>
        </w:rPr>
        <w:lastRenderedPageBreak/>
        <w:t>(C</w:t>
      </w:r>
      <w:r w:rsidRPr="00807A92">
        <w:rPr>
          <w:rFonts w:ascii="Times New Roman" w:eastAsia="Times New Roman" w:hAnsi="Times New Roman" w:cs="Times New Roman"/>
          <w:sz w:val="24"/>
          <w:szCs w:val="24"/>
          <w:lang w:eastAsia="it-IT"/>
        </w:rPr>
        <w:noBreakHyphen/>
        <w:t>224/01, EU:C:2003:513, paragraph 55); of 28 July 2016, Tomášová (C</w:t>
      </w:r>
      <w:r w:rsidRPr="00807A92">
        <w:rPr>
          <w:rFonts w:ascii="Times New Roman" w:eastAsia="Times New Roman" w:hAnsi="Times New Roman" w:cs="Times New Roman"/>
          <w:sz w:val="24"/>
          <w:szCs w:val="24"/>
          <w:lang w:eastAsia="it-IT"/>
        </w:rPr>
        <w:noBreakHyphen/>
        <w:t>168/15, EU:C:2016:602, paragraph 25); and of 29 July 2019, Hochtief Solutions Magyarországi Fióktelepe</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620/17, EU:C:2019:630, paragraph 42).</w:t>
      </w:r>
    </w:p>
    <w:p w14:paraId="66166781"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0995AED">
          <v:rect id="_x0000_i90044" style="width:0;height:1.5pt" o:hralign="center" o:hrstd="t" o:hr="t" fillcolor="#a0a0a0" stroked="f"/>
        </w:pict>
      </w:r>
    </w:p>
    <w:bookmarkStart w:id="426" w:name="Footnote101"/>
    <w:p w14:paraId="048DB24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"Footref101"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101</w:t>
      </w:r>
      <w:r w:rsidRPr="00807A92">
        <w:rPr>
          <w:rFonts w:ascii="Times New Roman" w:eastAsia="Times New Roman" w:hAnsi="Times New Roman" w:cs="Times New Roman"/>
          <w:sz w:val="24"/>
          <w:szCs w:val="24"/>
          <w:lang w:eastAsia="it-IT"/>
        </w:rPr>
        <w:fldChar w:fldCharType="end"/>
      </w:r>
      <w:bookmarkEnd w:id="426"/>
      <w:r w:rsidRPr="00807A92">
        <w:rPr>
          <w:rFonts w:ascii="Times New Roman" w:eastAsia="Times New Roman" w:hAnsi="Times New Roman" w:cs="Times New Roman"/>
          <w:sz w:val="24"/>
          <w:szCs w:val="24"/>
          <w:lang w:eastAsia="it-IT"/>
        </w:rPr>
        <w:t xml:space="preserve">      With the previous indications being the judgments of 9 December 2003, </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Commission v Italy (C</w:t>
      </w:r>
      <w:r w:rsidRPr="00807A92">
        <w:rPr>
          <w:rFonts w:ascii="Times New Roman" w:eastAsia="Times New Roman" w:hAnsi="Times New Roman" w:cs="Times New Roman"/>
          <w:sz w:val="24"/>
          <w:szCs w:val="24"/>
          <w:lang w:eastAsia="it-IT"/>
        </w:rPr>
        <w:noBreakHyphen/>
        <w:t>129/00, EU:C:2003:656), and of 12 November 2009, Commission v Spain (C</w:t>
      </w:r>
      <w:r w:rsidRPr="00807A92">
        <w:rPr>
          <w:rFonts w:ascii="Times New Roman" w:eastAsia="Times New Roman" w:hAnsi="Times New Roman" w:cs="Times New Roman"/>
          <w:sz w:val="24"/>
          <w:szCs w:val="24"/>
          <w:lang w:eastAsia="it-IT"/>
        </w:rPr>
        <w:noBreakHyphen/>
        <w:t>154/08, not published, EU:C:2009:695). In both cases, the procedure concerned, generally, the incompatibility of national law or administrative practice with other, substantive provisions of EU law. However, in particular in the latter case, it was rather clear that the blame lay with the Tribunal Supremo (Supreme Court, Spain) for having failed to make a reference (see, in particular, paragraphs 124 to 126 of that judgment).</w:t>
      </w:r>
    </w:p>
    <w:p w14:paraId="4AFD35A5"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641D4BF">
          <v:rect id="_x0000_i90045" style="width:0;height:1.5pt" o:hralign="center" o:hrstd="t" o:hr="t" fillcolor="#a0a0a0" stroked="f"/>
        </w:pict>
      </w:r>
    </w:p>
    <w:bookmarkStart w:id="427" w:name="Footnote102"/>
    <w:p w14:paraId="6EFFCB5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"Footref102"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102</w:t>
      </w:r>
      <w:r w:rsidRPr="00807A92">
        <w:rPr>
          <w:rFonts w:ascii="Times New Roman" w:eastAsia="Times New Roman" w:hAnsi="Times New Roman" w:cs="Times New Roman"/>
          <w:sz w:val="24"/>
          <w:szCs w:val="24"/>
          <w:lang w:eastAsia="it-IT"/>
        </w:rPr>
        <w:fldChar w:fldCharType="end"/>
      </w:r>
      <w:bookmarkEnd w:id="427"/>
      <w:r w:rsidRPr="00807A92">
        <w:rPr>
          <w:rFonts w:ascii="Times New Roman" w:eastAsia="Times New Roman" w:hAnsi="Times New Roman" w:cs="Times New Roman"/>
          <w:sz w:val="24"/>
          <w:szCs w:val="24"/>
          <w:lang w:eastAsia="it-IT"/>
        </w:rPr>
        <w:t>      Judgment of 4 October 2018, Commission v France (Advance payment) (C</w:t>
      </w:r>
      <w:r w:rsidRPr="00807A92">
        <w:rPr>
          <w:rFonts w:ascii="Times New Roman" w:eastAsia="Times New Roman" w:hAnsi="Times New Roman" w:cs="Times New Roman"/>
          <w:sz w:val="24"/>
          <w:szCs w:val="24"/>
          <w:lang w:eastAsia="it-IT"/>
        </w:rPr>
        <w:noBreakHyphen/>
        <w:t xml:space="preserve">416/17, EU:C:2018:811). </w:t>
      </w:r>
    </w:p>
    <w:p w14:paraId="66289E9F"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68B6206">
          <v:rect id="_x0000_i90046" style="width:0;height:1.5pt" o:hralign="center" o:hrstd="t" o:hr="t" fillcolor="#a0a0a0" stroked="f"/>
        </w:pict>
      </w:r>
    </w:p>
    <w:bookmarkStart w:id="428" w:name="Footnote103"/>
    <w:p w14:paraId="3F5A27A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"Footref103"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103</w:t>
      </w:r>
      <w:r w:rsidRPr="00807A92">
        <w:rPr>
          <w:rFonts w:ascii="Times New Roman" w:eastAsia="Times New Roman" w:hAnsi="Times New Roman" w:cs="Times New Roman"/>
          <w:sz w:val="24"/>
          <w:szCs w:val="24"/>
          <w:lang w:eastAsia="it-IT"/>
        </w:rPr>
        <w:fldChar w:fldCharType="end"/>
      </w:r>
      <w:bookmarkEnd w:id="428"/>
      <w:r w:rsidRPr="00807A92">
        <w:rPr>
          <w:rFonts w:ascii="Times New Roman" w:eastAsia="Times New Roman" w:hAnsi="Times New Roman" w:cs="Times New Roman"/>
          <w:sz w:val="24"/>
          <w:szCs w:val="24"/>
          <w:lang w:eastAsia="it-IT"/>
        </w:rPr>
        <w:t>      Ibid., paragraph 110.</w:t>
      </w:r>
    </w:p>
    <w:p w14:paraId="00B129F6"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5C3C8630">
          <v:rect id="_x0000_i90047" style="width:0;height:1.5pt" o:hralign="center" o:hrstd="t" o:hr="t" fillcolor="#a0a0a0" stroked="f"/>
        </w:pict>
      </w:r>
    </w:p>
    <w:bookmarkStart w:id="429" w:name="Footnote104"/>
    <w:p w14:paraId="27A37D7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"Footref104"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104</w:t>
      </w:r>
      <w:r w:rsidRPr="00807A92">
        <w:rPr>
          <w:rFonts w:ascii="Times New Roman" w:eastAsia="Times New Roman" w:hAnsi="Times New Roman" w:cs="Times New Roman"/>
          <w:sz w:val="24"/>
          <w:szCs w:val="24"/>
          <w:lang w:eastAsia="it-IT"/>
        </w:rPr>
        <w:fldChar w:fldCharType="end"/>
      </w:r>
      <w:bookmarkEnd w:id="429"/>
      <w:r w:rsidRPr="00807A92">
        <w:rPr>
          <w:rFonts w:ascii="Times New Roman" w:eastAsia="Times New Roman" w:hAnsi="Times New Roman" w:cs="Times New Roman"/>
          <w:sz w:val="24"/>
          <w:szCs w:val="24"/>
          <w:lang w:eastAsia="it-IT"/>
        </w:rPr>
        <w:t xml:space="preserve">      Ibid., paragraph 111. </w:t>
      </w:r>
    </w:p>
    <w:p w14:paraId="4611E3F3"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8F4C75E">
          <v:rect id="_x0000_i90048" style="width:0;height:1.5pt" o:hralign="center" o:hrstd="t" o:hr="t" fillcolor="#a0a0a0" stroked="f"/>
        </w:pict>
      </w:r>
    </w:p>
    <w:bookmarkStart w:id="430" w:name="Footnote105"/>
    <w:p w14:paraId="3762C7D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"Footref105"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105</w:t>
      </w:r>
      <w:r w:rsidRPr="00807A92">
        <w:rPr>
          <w:rFonts w:ascii="Times New Roman" w:eastAsia="Times New Roman" w:hAnsi="Times New Roman" w:cs="Times New Roman"/>
          <w:sz w:val="24"/>
          <w:szCs w:val="24"/>
          <w:lang w:eastAsia="it-IT"/>
        </w:rPr>
        <w:fldChar w:fldCharType="end"/>
      </w:r>
      <w:bookmarkEnd w:id="430"/>
      <w:r w:rsidRPr="00807A92">
        <w:rPr>
          <w:rFonts w:ascii="Times New Roman" w:eastAsia="Times New Roman" w:hAnsi="Times New Roman" w:cs="Times New Roman"/>
          <w:sz w:val="24"/>
          <w:szCs w:val="24"/>
          <w:lang w:eastAsia="it-IT"/>
        </w:rPr>
        <w:t>      Ibid., paragraph 112.</w:t>
      </w:r>
    </w:p>
    <w:p w14:paraId="639879AF"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1911228">
          <v:rect id="_x0000_i90049" style="width:0;height:1.5pt" o:hralign="center" o:hrstd="t" o:hr="t" fillcolor="#a0a0a0" stroked="f"/>
        </w:pict>
      </w:r>
    </w:p>
    <w:bookmarkStart w:id="431" w:name="Footnote106"/>
    <w:p w14:paraId="6B8129D4"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"Footref106"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106</w:t>
      </w:r>
      <w:r w:rsidRPr="00807A92">
        <w:rPr>
          <w:rFonts w:ascii="Times New Roman" w:eastAsia="Times New Roman" w:hAnsi="Times New Roman" w:cs="Times New Roman"/>
          <w:sz w:val="24"/>
          <w:szCs w:val="24"/>
          <w:lang w:eastAsia="it-IT"/>
        </w:rPr>
        <w:fldChar w:fldCharType="end"/>
      </w:r>
      <w:bookmarkEnd w:id="431"/>
      <w:r w:rsidRPr="00807A92">
        <w:rPr>
          <w:rFonts w:ascii="Times New Roman" w:eastAsia="Times New Roman" w:hAnsi="Times New Roman" w:cs="Times New Roman"/>
          <w:sz w:val="24"/>
          <w:szCs w:val="24"/>
          <w:lang w:eastAsia="it-IT"/>
        </w:rPr>
        <w:t xml:space="preserve">      See above, points 73 to 86 of this Opinion. </w:t>
      </w:r>
    </w:p>
    <w:p w14:paraId="552EA280"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5723411">
          <v:rect id="_x0000_i90050" style="width:0;height:1.5pt" o:hralign="center" o:hrstd="t" o:hr="t" fillcolor="#a0a0a0" stroked="f"/>
        </w:pict>
      </w:r>
    </w:p>
    <w:bookmarkStart w:id="432" w:name="Footnote107"/>
    <w:p w14:paraId="791CE55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"Footref107"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107</w:t>
      </w:r>
      <w:r w:rsidRPr="00807A92">
        <w:rPr>
          <w:rFonts w:ascii="Times New Roman" w:eastAsia="Times New Roman" w:hAnsi="Times New Roman" w:cs="Times New Roman"/>
          <w:sz w:val="24"/>
          <w:szCs w:val="24"/>
          <w:lang w:eastAsia="it-IT"/>
        </w:rPr>
        <w:fldChar w:fldCharType="end"/>
      </w:r>
      <w:bookmarkEnd w:id="432"/>
      <w:r w:rsidRPr="00807A92">
        <w:rPr>
          <w:rFonts w:ascii="Times New Roman" w:eastAsia="Times New Roman" w:hAnsi="Times New Roman" w:cs="Times New Roman"/>
          <w:sz w:val="24"/>
          <w:szCs w:val="24"/>
          <w:lang w:eastAsia="it-IT"/>
        </w:rPr>
        <w:t xml:space="preserve">      See judgment of 14 February 1989, </w:t>
      </w:r>
      <w:r w:rsidRPr="00807A92">
        <w:rPr>
          <w:rFonts w:ascii="Times New Roman" w:eastAsia="Times New Roman" w:hAnsi="Times New Roman" w:cs="Times New Roman"/>
          <w:i/>
          <w:iCs/>
          <w:sz w:val="24"/>
          <w:szCs w:val="24"/>
          <w:lang w:eastAsia="it-IT"/>
        </w:rPr>
        <w:t xml:space="preserve">Star Fruit </w:t>
      </w:r>
      <w:r w:rsidRPr="00807A92">
        <w:rPr>
          <w:rFonts w:ascii="Times New Roman" w:eastAsia="Times New Roman" w:hAnsi="Times New Roman" w:cs="Times New Roman"/>
          <w:sz w:val="24"/>
          <w:szCs w:val="24"/>
          <w:lang w:eastAsia="it-IT"/>
        </w:rPr>
        <w:t>v</w:t>
      </w:r>
      <w:r w:rsidRPr="00807A92">
        <w:rPr>
          <w:rFonts w:ascii="Times New Roman" w:eastAsia="Times New Roman" w:hAnsi="Times New Roman" w:cs="Times New Roman"/>
          <w:i/>
          <w:iCs/>
          <w:sz w:val="24"/>
          <w:szCs w:val="24"/>
          <w:lang w:eastAsia="it-IT"/>
        </w:rPr>
        <w:t xml:space="preserve"> Commission</w:t>
      </w:r>
      <w:r w:rsidRPr="00807A92">
        <w:rPr>
          <w:rFonts w:ascii="Times New Roman" w:eastAsia="Times New Roman" w:hAnsi="Times New Roman" w:cs="Times New Roman"/>
          <w:sz w:val="24"/>
          <w:szCs w:val="24"/>
          <w:lang w:eastAsia="it-IT"/>
        </w:rPr>
        <w:t xml:space="preserve"> (247/87, EU:C:1989:58, paragraph 11). </w:t>
      </w:r>
    </w:p>
    <w:p w14:paraId="6496F01A"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944381B">
          <v:rect id="_x0000_i90051" style="width:0;height:1.5pt" o:hralign="center" o:hrstd="t" o:hr="t" fillcolor="#a0a0a0" stroked="f"/>
        </w:pict>
      </w:r>
    </w:p>
    <w:bookmarkStart w:id="433" w:name="Footnote108"/>
    <w:p w14:paraId="0D8609F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"Footref108"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108</w:t>
      </w:r>
      <w:r w:rsidRPr="00807A92">
        <w:rPr>
          <w:rFonts w:ascii="Times New Roman" w:eastAsia="Times New Roman" w:hAnsi="Times New Roman" w:cs="Times New Roman"/>
          <w:sz w:val="24"/>
          <w:szCs w:val="24"/>
          <w:lang w:eastAsia="it-IT"/>
        </w:rPr>
        <w:fldChar w:fldCharType="end"/>
      </w:r>
      <w:bookmarkEnd w:id="433"/>
      <w:r w:rsidRPr="00807A92">
        <w:rPr>
          <w:rFonts w:ascii="Times New Roman" w:eastAsia="Times New Roman" w:hAnsi="Times New Roman" w:cs="Times New Roman"/>
          <w:sz w:val="24"/>
          <w:szCs w:val="24"/>
          <w:lang w:eastAsia="it-IT"/>
        </w:rPr>
        <w:t xml:space="preserve">      Judging already from the fact that the same legal issue was not also obvious to the Conseil d’État’s (Council of State) </w:t>
      </w:r>
      <w:r w:rsidRPr="00807A92">
        <w:rPr>
          <w:rFonts w:ascii="Times New Roman" w:eastAsia="Times New Roman" w:hAnsi="Times New Roman" w:cs="Times New Roman"/>
          <w:i/>
          <w:iCs/>
          <w:sz w:val="24"/>
          <w:szCs w:val="24"/>
          <w:lang w:eastAsia="it-IT"/>
        </w:rPr>
        <w:t xml:space="preserve">own rapporteur public within the same proceedings. </w:t>
      </w:r>
      <w:r w:rsidRPr="00807A92">
        <w:rPr>
          <w:rFonts w:ascii="Times New Roman" w:eastAsia="Times New Roman" w:hAnsi="Times New Roman" w:cs="Times New Roman"/>
          <w:sz w:val="24"/>
          <w:szCs w:val="24"/>
          <w:lang w:eastAsia="it-IT"/>
        </w:rPr>
        <w:t xml:space="preserve">See the Opinion of Advocate General Wathelet in </w:t>
      </w:r>
      <w:r w:rsidRPr="00807A92">
        <w:rPr>
          <w:rFonts w:ascii="Times New Roman" w:eastAsia="Times New Roman" w:hAnsi="Times New Roman" w:cs="Times New Roman"/>
          <w:i/>
          <w:iCs/>
          <w:sz w:val="24"/>
          <w:szCs w:val="24"/>
          <w:lang w:eastAsia="it-IT"/>
        </w:rPr>
        <w:t xml:space="preserve">Commission </w:t>
      </w:r>
      <w:r w:rsidRPr="00807A92">
        <w:rPr>
          <w:rFonts w:ascii="Times New Roman" w:eastAsia="Times New Roman" w:hAnsi="Times New Roman" w:cs="Times New Roman"/>
          <w:sz w:val="24"/>
          <w:szCs w:val="24"/>
          <w:lang w:eastAsia="it-IT"/>
        </w:rPr>
        <w:t>v</w:t>
      </w:r>
      <w:r w:rsidRPr="00807A92">
        <w:rPr>
          <w:rFonts w:ascii="Times New Roman" w:eastAsia="Times New Roman" w:hAnsi="Times New Roman" w:cs="Times New Roman"/>
          <w:i/>
          <w:iCs/>
          <w:sz w:val="24"/>
          <w:szCs w:val="24"/>
          <w:lang w:eastAsia="it-IT"/>
        </w:rPr>
        <w:t xml:space="preserve"> France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416/17, EU:C:2018:626, points 56, 81 and 99).</w:t>
      </w:r>
    </w:p>
    <w:p w14:paraId="6A38E726"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929577F">
          <v:rect id="_x0000_i90052" style="width:0;height:1.5pt" o:hralign="center" o:hrstd="t" o:hr="t" fillcolor="#a0a0a0" stroked="f"/>
        </w:pict>
      </w:r>
    </w:p>
    <w:bookmarkStart w:id="434" w:name="Footnote109"/>
    <w:p w14:paraId="2408934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"Footref109"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109</w:t>
      </w:r>
      <w:r w:rsidRPr="00807A92">
        <w:rPr>
          <w:rFonts w:ascii="Times New Roman" w:eastAsia="Times New Roman" w:hAnsi="Times New Roman" w:cs="Times New Roman"/>
          <w:sz w:val="24"/>
          <w:szCs w:val="24"/>
          <w:lang w:eastAsia="it-IT"/>
        </w:rPr>
        <w:fldChar w:fldCharType="end"/>
      </w:r>
      <w:bookmarkEnd w:id="434"/>
      <w:r w:rsidRPr="00807A92">
        <w:rPr>
          <w:rFonts w:ascii="Times New Roman" w:eastAsia="Times New Roman" w:hAnsi="Times New Roman" w:cs="Times New Roman"/>
          <w:sz w:val="24"/>
          <w:szCs w:val="24"/>
          <w:lang w:eastAsia="it-IT"/>
        </w:rPr>
        <w:t xml:space="preserve">      In this regard, I cannot but join my learned predecessors in noting that, even assuming that </w:t>
      </w:r>
      <w:r w:rsidRPr="00807A92">
        <w:rPr>
          <w:rFonts w:ascii="Times New Roman" w:eastAsia="Times New Roman" w:hAnsi="Times New Roman" w:cs="Times New Roman"/>
          <w:i/>
          <w:iCs/>
          <w:sz w:val="24"/>
          <w:szCs w:val="24"/>
          <w:lang w:eastAsia="it-IT"/>
        </w:rPr>
        <w:t>CILFIT</w:t>
      </w:r>
      <w:r w:rsidRPr="00807A92">
        <w:rPr>
          <w:rFonts w:ascii="Times New Roman" w:eastAsia="Times New Roman" w:hAnsi="Times New Roman" w:cs="Times New Roman"/>
          <w:sz w:val="24"/>
          <w:szCs w:val="24"/>
          <w:lang w:eastAsia="it-IT"/>
        </w:rPr>
        <w:t xml:space="preserve"> would have been viable at the time of its conception, </w:t>
      </w:r>
      <w:r w:rsidRPr="00807A92">
        <w:rPr>
          <w:rFonts w:ascii="Times New Roman" w:eastAsia="Times New Roman" w:hAnsi="Times New Roman" w:cs="Times New Roman"/>
          <w:i/>
          <w:iCs/>
          <w:sz w:val="24"/>
          <w:szCs w:val="24"/>
          <w:lang w:eastAsia="it-IT"/>
        </w:rPr>
        <w:t>quod non</w:t>
      </w:r>
      <w:r w:rsidRPr="00807A92">
        <w:rPr>
          <w:rFonts w:ascii="Times New Roman" w:eastAsia="Times New Roman" w:hAnsi="Times New Roman" w:cs="Times New Roman"/>
          <w:sz w:val="24"/>
          <w:szCs w:val="24"/>
          <w:lang w:eastAsia="it-IT"/>
        </w:rPr>
        <w:t xml:space="preserve">, it certainly did not age </w:t>
      </w:r>
      <w:r w:rsidRPr="00807A92">
        <w:rPr>
          <w:rFonts w:ascii="Times New Roman" w:eastAsia="Times New Roman" w:hAnsi="Times New Roman" w:cs="Times New Roman"/>
          <w:sz w:val="24"/>
          <w:szCs w:val="24"/>
          <w:lang w:eastAsia="it-IT"/>
        </w:rPr>
        <w:lastRenderedPageBreak/>
        <w:t xml:space="preserve">well – Opinion of Advocate General Ruiz-Jarabo Colomer in </w:t>
      </w:r>
      <w:r w:rsidRPr="00807A92">
        <w:rPr>
          <w:rFonts w:ascii="Times New Roman" w:eastAsia="Times New Roman" w:hAnsi="Times New Roman" w:cs="Times New Roman"/>
          <w:i/>
          <w:iCs/>
          <w:sz w:val="24"/>
          <w:szCs w:val="24"/>
          <w:lang w:eastAsia="it-IT"/>
        </w:rPr>
        <w:t>Gaston Schul Douane-expediteur</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 xml:space="preserve">461/03, EU:C:2005:415, point 52) and also Opinion of Advocate General Jacobs in </w:t>
      </w:r>
      <w:r w:rsidRPr="00807A92">
        <w:rPr>
          <w:rFonts w:ascii="Times New Roman" w:eastAsia="Times New Roman" w:hAnsi="Times New Roman" w:cs="Times New Roman"/>
          <w:i/>
          <w:iCs/>
          <w:sz w:val="24"/>
          <w:szCs w:val="24"/>
          <w:lang w:eastAsia="it-IT"/>
        </w:rPr>
        <w:t>Wiener SI</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338/95, EU:C:1997:352, points 59 and 60).</w:t>
      </w:r>
    </w:p>
    <w:p w14:paraId="78067835"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520E8E5C">
          <v:rect id="_x0000_i90053" style="width:0;height:1.5pt" o:hralign="center" o:hrstd="t" o:hr="t" fillcolor="#a0a0a0" stroked="f"/>
        </w:pict>
      </w:r>
    </w:p>
    <w:bookmarkStart w:id="435" w:name="Footnote110"/>
    <w:p w14:paraId="2B3E87A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"Footref110"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110</w:t>
      </w:r>
      <w:r w:rsidRPr="00807A92">
        <w:rPr>
          <w:rFonts w:ascii="Times New Roman" w:eastAsia="Times New Roman" w:hAnsi="Times New Roman" w:cs="Times New Roman"/>
          <w:sz w:val="24"/>
          <w:szCs w:val="24"/>
          <w:lang w:eastAsia="it-IT"/>
        </w:rPr>
        <w:fldChar w:fldCharType="end"/>
      </w:r>
      <w:bookmarkEnd w:id="435"/>
      <w:r w:rsidRPr="00807A92">
        <w:rPr>
          <w:rFonts w:ascii="Times New Roman" w:eastAsia="Times New Roman" w:hAnsi="Times New Roman" w:cs="Times New Roman"/>
          <w:sz w:val="24"/>
          <w:szCs w:val="24"/>
          <w:lang w:eastAsia="it-IT"/>
        </w:rPr>
        <w:t>      Regulation (EU, Euratom) 2019/629 of the European Parliament and of the Council of 17 April 2019 amending Protocol No 3 on the Statute of the Court of Justice of the European Union (OJ 2019 L 111, p. 1).</w:t>
      </w:r>
    </w:p>
    <w:p w14:paraId="18E7225B"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378367E">
          <v:rect id="_x0000_i90054" style="width:0;height:1.5pt" o:hralign="center" o:hrstd="t" o:hr="t" fillcolor="#a0a0a0" stroked="f"/>
        </w:pict>
      </w:r>
    </w:p>
    <w:bookmarkStart w:id="436" w:name="Footnote111"/>
    <w:p w14:paraId="761DCD3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"Footref111"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111</w:t>
      </w:r>
      <w:r w:rsidRPr="00807A92">
        <w:rPr>
          <w:rFonts w:ascii="Times New Roman" w:eastAsia="Times New Roman" w:hAnsi="Times New Roman" w:cs="Times New Roman"/>
          <w:sz w:val="24"/>
          <w:szCs w:val="24"/>
          <w:lang w:eastAsia="it-IT"/>
        </w:rPr>
        <w:fldChar w:fldCharType="end"/>
      </w:r>
      <w:bookmarkEnd w:id="436"/>
      <w:r w:rsidRPr="00807A92">
        <w:rPr>
          <w:rFonts w:ascii="Times New Roman" w:eastAsia="Times New Roman" w:hAnsi="Times New Roman" w:cs="Times New Roman"/>
          <w:sz w:val="24"/>
          <w:szCs w:val="24"/>
          <w:lang w:eastAsia="it-IT"/>
        </w:rPr>
        <w:t xml:space="preserve">      The Good Soldier Švejk is an intriguing Czech literary figure, known inter alia for his numerous demonstrations of the destructive force of senseless obedience. Švejk was effectively subverting the operation of the Austro-Hungarian army in the First World War by following any and all orders issued by his superiors to the letter, without ever questioning their content or adapting them to the circumstances. See, from the many editions, Hašek, J., </w:t>
      </w:r>
      <w:r w:rsidRPr="00807A92">
        <w:rPr>
          <w:rFonts w:ascii="Times New Roman" w:eastAsia="Times New Roman" w:hAnsi="Times New Roman" w:cs="Times New Roman"/>
          <w:i/>
          <w:iCs/>
          <w:sz w:val="24"/>
          <w:szCs w:val="24"/>
          <w:lang w:eastAsia="it-IT"/>
        </w:rPr>
        <w:t>The Good Soldier Svejk and His Fortunes in the World War</w:t>
      </w:r>
      <w:r w:rsidRPr="00807A92">
        <w:rPr>
          <w:rFonts w:ascii="Times New Roman" w:eastAsia="Times New Roman" w:hAnsi="Times New Roman" w:cs="Times New Roman"/>
          <w:sz w:val="24"/>
          <w:szCs w:val="24"/>
          <w:lang w:eastAsia="it-IT"/>
        </w:rPr>
        <w:t xml:space="preserve">, Penguin Classics, 2005. </w:t>
      </w:r>
    </w:p>
    <w:p w14:paraId="705737E8"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5CF35CD">
          <v:rect id="_x0000_i90055" style="width:0;height:1.5pt" o:hralign="center" o:hrstd="t" o:hr="t" fillcolor="#a0a0a0" stroked="f"/>
        </w:pict>
      </w:r>
    </w:p>
    <w:bookmarkStart w:id="437" w:name="Footnote112"/>
    <w:p w14:paraId="5D08B9A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"Footref112"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112</w:t>
      </w:r>
      <w:r w:rsidRPr="00807A92">
        <w:rPr>
          <w:rFonts w:ascii="Times New Roman" w:eastAsia="Times New Roman" w:hAnsi="Times New Roman" w:cs="Times New Roman"/>
          <w:sz w:val="24"/>
          <w:szCs w:val="24"/>
          <w:lang w:eastAsia="it-IT"/>
        </w:rPr>
        <w:fldChar w:fldCharType="end"/>
      </w:r>
      <w:bookmarkEnd w:id="437"/>
      <w:r w:rsidRPr="00807A92">
        <w:rPr>
          <w:rFonts w:ascii="Times New Roman" w:eastAsia="Times New Roman" w:hAnsi="Times New Roman" w:cs="Times New Roman"/>
          <w:sz w:val="24"/>
          <w:szCs w:val="24"/>
          <w:lang w:eastAsia="it-IT"/>
        </w:rPr>
        <w:t xml:space="preserve">      See above, point 51 of this Opinion. </w:t>
      </w:r>
    </w:p>
    <w:p w14:paraId="32C693E2"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94FAB86">
          <v:rect id="_x0000_i90056" style="width:0;height:1.5pt" o:hralign="center" o:hrstd="t" o:hr="t" fillcolor="#a0a0a0" stroked="f"/>
        </w:pict>
      </w:r>
    </w:p>
    <w:bookmarkStart w:id="438" w:name="Footnote113"/>
    <w:p w14:paraId="07240DA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"Footref113"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113</w:t>
      </w:r>
      <w:r w:rsidRPr="00807A92">
        <w:rPr>
          <w:rFonts w:ascii="Times New Roman" w:eastAsia="Times New Roman" w:hAnsi="Times New Roman" w:cs="Times New Roman"/>
          <w:sz w:val="24"/>
          <w:szCs w:val="24"/>
          <w:lang w:eastAsia="it-IT"/>
        </w:rPr>
        <w:fldChar w:fldCharType="end"/>
      </w:r>
      <w:bookmarkEnd w:id="438"/>
      <w:r w:rsidRPr="00807A92">
        <w:rPr>
          <w:rFonts w:ascii="Times New Roman" w:eastAsia="Times New Roman" w:hAnsi="Times New Roman" w:cs="Times New Roman"/>
          <w:sz w:val="24"/>
          <w:szCs w:val="24"/>
          <w:lang w:eastAsia="it-IT"/>
        </w:rPr>
        <w:t xml:space="preserve">      As already stated above, point 46 of this Opinion. </w:t>
      </w:r>
    </w:p>
    <w:p w14:paraId="0D2BD31A"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0741A69">
          <v:rect id="_x0000_i90057" style="width:0;height:1.5pt" o:hralign="center" o:hrstd="t" o:hr="t" fillcolor="#a0a0a0" stroked="f"/>
        </w:pict>
      </w:r>
    </w:p>
    <w:bookmarkStart w:id="439" w:name="Footnote114"/>
    <w:p w14:paraId="654E385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"Footref114"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114</w:t>
      </w:r>
      <w:r w:rsidRPr="00807A92">
        <w:rPr>
          <w:rFonts w:ascii="Times New Roman" w:eastAsia="Times New Roman" w:hAnsi="Times New Roman" w:cs="Times New Roman"/>
          <w:sz w:val="24"/>
          <w:szCs w:val="24"/>
          <w:lang w:eastAsia="it-IT"/>
        </w:rPr>
        <w:fldChar w:fldCharType="end"/>
      </w:r>
      <w:bookmarkEnd w:id="439"/>
      <w:r w:rsidRPr="00807A92">
        <w:rPr>
          <w:rFonts w:ascii="Times New Roman" w:eastAsia="Times New Roman" w:hAnsi="Times New Roman" w:cs="Times New Roman"/>
          <w:sz w:val="24"/>
          <w:szCs w:val="24"/>
          <w:lang w:eastAsia="it-IT"/>
        </w:rPr>
        <w:t xml:space="preserve">      Regulation of the European Parliament and of the Council of 11 February 2004 establishing common rules on compensation and assistance to passengers in the event of denied boarding and of cancellation or long delay of flights, and repealing Regulation (EEC) No 295/91 (OJ 2004 L 46, p. 1). </w:t>
      </w:r>
    </w:p>
    <w:p w14:paraId="04D4BF79"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125E2D3">
          <v:rect id="_x0000_i90058" style="width:0;height:1.5pt" o:hralign="center" o:hrstd="t" o:hr="t" fillcolor="#a0a0a0" stroked="f"/>
        </w:pict>
      </w:r>
    </w:p>
    <w:bookmarkStart w:id="440" w:name="Footnote115"/>
    <w:p w14:paraId="70C2323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"Footref115"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115</w:t>
      </w:r>
      <w:r w:rsidRPr="00807A92">
        <w:rPr>
          <w:rFonts w:ascii="Times New Roman" w:eastAsia="Times New Roman" w:hAnsi="Times New Roman" w:cs="Times New Roman"/>
          <w:sz w:val="24"/>
          <w:szCs w:val="24"/>
          <w:lang w:eastAsia="it-IT"/>
        </w:rPr>
        <w:fldChar w:fldCharType="end"/>
      </w:r>
      <w:bookmarkEnd w:id="440"/>
      <w:r w:rsidRPr="00807A92">
        <w:rPr>
          <w:rFonts w:ascii="Times New Roman" w:eastAsia="Times New Roman" w:hAnsi="Times New Roman" w:cs="Times New Roman"/>
          <w:sz w:val="24"/>
          <w:szCs w:val="24"/>
          <w:lang w:eastAsia="it-IT"/>
        </w:rPr>
        <w:t>      Judgment of 22 December 2008, Wallentin-Hermann (C</w:t>
      </w:r>
      <w:r w:rsidRPr="00807A92">
        <w:rPr>
          <w:rFonts w:ascii="Times New Roman" w:eastAsia="Times New Roman" w:hAnsi="Times New Roman" w:cs="Times New Roman"/>
          <w:sz w:val="24"/>
          <w:szCs w:val="24"/>
          <w:lang w:eastAsia="it-IT"/>
        </w:rPr>
        <w:noBreakHyphen/>
        <w:t>549/07, EU:C:2008:771, paragraph 23). For subsequent confirmations, see, for example, judgments of 31 January 2013, McDonagh (C</w:t>
      </w:r>
      <w:r w:rsidRPr="00807A92">
        <w:rPr>
          <w:rFonts w:ascii="Times New Roman" w:eastAsia="Times New Roman" w:hAnsi="Times New Roman" w:cs="Times New Roman"/>
          <w:sz w:val="24"/>
          <w:szCs w:val="24"/>
          <w:lang w:eastAsia="it-IT"/>
        </w:rPr>
        <w:noBreakHyphen/>
        <w:t xml:space="preserve">12/11, EU:C:2013:43, paragraph 29), and of 11 June 2020, </w:t>
      </w:r>
      <w:r w:rsidRPr="00807A92">
        <w:rPr>
          <w:rFonts w:ascii="Times New Roman" w:eastAsia="Times New Roman" w:hAnsi="Times New Roman" w:cs="Times New Roman"/>
          <w:i/>
          <w:iCs/>
          <w:sz w:val="24"/>
          <w:szCs w:val="24"/>
          <w:lang w:eastAsia="it-IT"/>
        </w:rPr>
        <w:t>Transportes Aéreos Portugueses</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74/19, EU:C:2020:460, paragraph 37 and the case-law cited).</w:t>
      </w:r>
    </w:p>
    <w:p w14:paraId="650D36BA"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257B605E">
          <v:rect id="_x0000_i90059" style="width:0;height:1.5pt" o:hralign="center" o:hrstd="t" o:hr="t" fillcolor="#a0a0a0" stroked="f"/>
        </w:pict>
      </w:r>
    </w:p>
    <w:bookmarkStart w:id="441" w:name="Footnote116"/>
    <w:p w14:paraId="46F97A2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"Footref116"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116</w:t>
      </w:r>
      <w:r w:rsidRPr="00807A92">
        <w:rPr>
          <w:rFonts w:ascii="Times New Roman" w:eastAsia="Times New Roman" w:hAnsi="Times New Roman" w:cs="Times New Roman"/>
          <w:sz w:val="24"/>
          <w:szCs w:val="24"/>
          <w:lang w:eastAsia="it-IT"/>
        </w:rPr>
        <w:fldChar w:fldCharType="end"/>
      </w:r>
      <w:bookmarkEnd w:id="441"/>
      <w:r w:rsidRPr="00807A92">
        <w:rPr>
          <w:rFonts w:ascii="Times New Roman" w:eastAsia="Times New Roman" w:hAnsi="Times New Roman" w:cs="Times New Roman"/>
          <w:sz w:val="24"/>
          <w:szCs w:val="24"/>
          <w:lang w:eastAsia="it-IT"/>
        </w:rPr>
        <w:t>      Judgment of 4 May 2017, Pešková and Peška (C</w:t>
      </w:r>
      <w:r w:rsidRPr="00807A92">
        <w:rPr>
          <w:rFonts w:ascii="Times New Roman" w:eastAsia="Times New Roman" w:hAnsi="Times New Roman" w:cs="Times New Roman"/>
          <w:sz w:val="24"/>
          <w:szCs w:val="24"/>
          <w:lang w:eastAsia="it-IT"/>
        </w:rPr>
        <w:noBreakHyphen/>
        <w:t>315/15, EU:C:2017:342, paragraph 26).</w:t>
      </w:r>
    </w:p>
    <w:p w14:paraId="6BD0ECCF"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92CBF78">
          <v:rect id="_x0000_i90060" style="width:0;height:1.5pt" o:hralign="center" o:hrstd="t" o:hr="t" fillcolor="#a0a0a0" stroked="f"/>
        </w:pict>
      </w:r>
    </w:p>
    <w:bookmarkStart w:id="442" w:name="Footnote117"/>
    <w:p w14:paraId="4919A09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"Footref117"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117</w:t>
      </w:r>
      <w:r w:rsidRPr="00807A92">
        <w:rPr>
          <w:rFonts w:ascii="Times New Roman" w:eastAsia="Times New Roman" w:hAnsi="Times New Roman" w:cs="Times New Roman"/>
          <w:sz w:val="24"/>
          <w:szCs w:val="24"/>
          <w:lang w:eastAsia="it-IT"/>
        </w:rPr>
        <w:fldChar w:fldCharType="end"/>
      </w:r>
      <w:bookmarkEnd w:id="442"/>
      <w:r w:rsidRPr="00807A92">
        <w:rPr>
          <w:rFonts w:ascii="Times New Roman" w:eastAsia="Times New Roman" w:hAnsi="Times New Roman" w:cs="Times New Roman"/>
          <w:sz w:val="24"/>
          <w:szCs w:val="24"/>
          <w:lang w:eastAsia="it-IT"/>
        </w:rPr>
        <w:t>      Judgment of 31 January 2013, McDonagh (C</w:t>
      </w:r>
      <w:r w:rsidRPr="00807A92">
        <w:rPr>
          <w:rFonts w:ascii="Times New Roman" w:eastAsia="Times New Roman" w:hAnsi="Times New Roman" w:cs="Times New Roman"/>
          <w:sz w:val="24"/>
          <w:szCs w:val="24"/>
          <w:lang w:eastAsia="it-IT"/>
        </w:rPr>
        <w:noBreakHyphen/>
        <w:t>12/11, EU:C:2013:43, paragraph 34).</w:t>
      </w:r>
    </w:p>
    <w:p w14:paraId="773256CE"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4BA0419">
          <v:rect id="_x0000_i90061" style="width:0;height:1.5pt" o:hralign="center" o:hrstd="t" o:hr="t" fillcolor="#a0a0a0" stroked="f"/>
        </w:pict>
      </w:r>
    </w:p>
    <w:bookmarkStart w:id="443" w:name="Footnote118"/>
    <w:p w14:paraId="6139258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"Footref118"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118</w:t>
      </w:r>
      <w:r w:rsidRPr="00807A92">
        <w:rPr>
          <w:rFonts w:ascii="Times New Roman" w:eastAsia="Times New Roman" w:hAnsi="Times New Roman" w:cs="Times New Roman"/>
          <w:sz w:val="24"/>
          <w:szCs w:val="24"/>
          <w:lang w:eastAsia="it-IT"/>
        </w:rPr>
        <w:fldChar w:fldCharType="end"/>
      </w:r>
      <w:bookmarkEnd w:id="443"/>
      <w:r w:rsidRPr="00807A92">
        <w:rPr>
          <w:rFonts w:ascii="Times New Roman" w:eastAsia="Times New Roman" w:hAnsi="Times New Roman" w:cs="Times New Roman"/>
          <w:sz w:val="24"/>
          <w:szCs w:val="24"/>
          <w:lang w:eastAsia="it-IT"/>
        </w:rPr>
        <w:t xml:space="preserve">      Judgment of 11 June 2020, </w:t>
      </w:r>
      <w:r w:rsidRPr="00807A92">
        <w:rPr>
          <w:rFonts w:ascii="Times New Roman" w:eastAsia="Times New Roman" w:hAnsi="Times New Roman" w:cs="Times New Roman"/>
          <w:i/>
          <w:iCs/>
          <w:sz w:val="24"/>
          <w:szCs w:val="24"/>
          <w:lang w:eastAsia="it-IT"/>
        </w:rPr>
        <w:t>Transportes Aéreos Portugueses</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74/19, EU:C:2020:460, paragraph 48).</w:t>
      </w:r>
    </w:p>
    <w:p w14:paraId="6860ABB0"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F3BF655">
          <v:rect id="_x0000_i90062" style="width:0;height:1.5pt" o:hralign="center" o:hrstd="t" o:hr="t" fillcolor="#a0a0a0" stroked="f"/>
        </w:pict>
      </w:r>
    </w:p>
    <w:bookmarkStart w:id="444" w:name="Footnote119"/>
    <w:p w14:paraId="5FA7795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"Footref119"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119</w:t>
      </w:r>
      <w:r w:rsidRPr="00807A92">
        <w:rPr>
          <w:rFonts w:ascii="Times New Roman" w:eastAsia="Times New Roman" w:hAnsi="Times New Roman" w:cs="Times New Roman"/>
          <w:sz w:val="24"/>
          <w:szCs w:val="24"/>
          <w:lang w:eastAsia="it-IT"/>
        </w:rPr>
        <w:fldChar w:fldCharType="end"/>
      </w:r>
      <w:bookmarkEnd w:id="444"/>
      <w:r w:rsidRPr="00807A92">
        <w:rPr>
          <w:rFonts w:ascii="Times New Roman" w:eastAsia="Times New Roman" w:hAnsi="Times New Roman" w:cs="Times New Roman"/>
          <w:sz w:val="24"/>
          <w:szCs w:val="24"/>
          <w:lang w:eastAsia="it-IT"/>
        </w:rPr>
        <w:t>      Judgment of 4 April 2019, Germanwings (C</w:t>
      </w:r>
      <w:r w:rsidRPr="00807A92">
        <w:rPr>
          <w:rFonts w:ascii="Times New Roman" w:eastAsia="Times New Roman" w:hAnsi="Times New Roman" w:cs="Times New Roman"/>
          <w:sz w:val="24"/>
          <w:szCs w:val="24"/>
          <w:lang w:eastAsia="it-IT"/>
        </w:rPr>
        <w:noBreakHyphen/>
        <w:t>501/17, EU:C:2019:288, paragraph 34).</w:t>
      </w:r>
    </w:p>
    <w:p w14:paraId="36E803B5"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A65E265">
          <v:rect id="_x0000_i90063" style="width:0;height:1.5pt" o:hralign="center" o:hrstd="t" o:hr="t" fillcolor="#a0a0a0" stroked="f"/>
        </w:pict>
      </w:r>
    </w:p>
    <w:bookmarkStart w:id="445" w:name="Footnote120"/>
    <w:p w14:paraId="7DE31A8E"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"Footref120"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120</w:t>
      </w:r>
      <w:r w:rsidRPr="00807A92">
        <w:rPr>
          <w:rFonts w:ascii="Times New Roman" w:eastAsia="Times New Roman" w:hAnsi="Times New Roman" w:cs="Times New Roman"/>
          <w:sz w:val="24"/>
          <w:szCs w:val="24"/>
          <w:lang w:eastAsia="it-IT"/>
        </w:rPr>
        <w:fldChar w:fldCharType="end"/>
      </w:r>
      <w:bookmarkEnd w:id="445"/>
      <w:r w:rsidRPr="00807A92">
        <w:rPr>
          <w:rFonts w:ascii="Times New Roman" w:eastAsia="Times New Roman" w:hAnsi="Times New Roman" w:cs="Times New Roman"/>
          <w:sz w:val="24"/>
          <w:szCs w:val="24"/>
          <w:lang w:eastAsia="it-IT"/>
        </w:rPr>
        <w:t>      Directive of the European Parliament and of the Council of 16 September 2009 relating to insurance against civil liability in respect of the use of motor vehicles, and the enforcement of the obligation to insure against such liability (OJ 2009 L 263, p. 11).</w:t>
      </w:r>
    </w:p>
    <w:p w14:paraId="0C7EB7B2"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1AB382D">
          <v:rect id="_x0000_i90064" style="width:0;height:1.5pt" o:hralign="center" o:hrstd="t" o:hr="t" fillcolor="#a0a0a0" stroked="f"/>
        </w:pict>
      </w:r>
    </w:p>
    <w:bookmarkStart w:id="446" w:name="Footnote121"/>
    <w:p w14:paraId="7459CFB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"Footref121"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121</w:t>
      </w:r>
      <w:r w:rsidRPr="00807A92">
        <w:rPr>
          <w:rFonts w:ascii="Times New Roman" w:eastAsia="Times New Roman" w:hAnsi="Times New Roman" w:cs="Times New Roman"/>
          <w:sz w:val="24"/>
          <w:szCs w:val="24"/>
          <w:lang w:eastAsia="it-IT"/>
        </w:rPr>
        <w:fldChar w:fldCharType="end"/>
      </w:r>
      <w:bookmarkEnd w:id="446"/>
      <w:r w:rsidRPr="00807A92">
        <w:rPr>
          <w:rFonts w:ascii="Times New Roman" w:eastAsia="Times New Roman" w:hAnsi="Times New Roman" w:cs="Times New Roman"/>
          <w:sz w:val="24"/>
          <w:szCs w:val="24"/>
          <w:lang w:eastAsia="it-IT"/>
        </w:rPr>
        <w:t xml:space="preserve">      See judgment of 4 September 2014, </w:t>
      </w:r>
      <w:r w:rsidRPr="00807A92">
        <w:rPr>
          <w:rFonts w:ascii="Times New Roman" w:eastAsia="Times New Roman" w:hAnsi="Times New Roman" w:cs="Times New Roman"/>
          <w:i/>
          <w:iCs/>
          <w:sz w:val="24"/>
          <w:szCs w:val="24"/>
          <w:lang w:eastAsia="it-IT"/>
        </w:rPr>
        <w:t xml:space="preserve">Vnuk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 xml:space="preserve">162/13, EU:C:2014:2146, paragraph 59). See also judgments of 28 November 2017, </w:t>
      </w:r>
      <w:r w:rsidRPr="00807A92">
        <w:rPr>
          <w:rFonts w:ascii="Times New Roman" w:eastAsia="Times New Roman" w:hAnsi="Times New Roman" w:cs="Times New Roman"/>
          <w:i/>
          <w:iCs/>
          <w:sz w:val="24"/>
          <w:szCs w:val="24"/>
          <w:lang w:eastAsia="it-IT"/>
        </w:rPr>
        <w:t xml:space="preserve">Rodrigues de Andrade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 xml:space="preserve">514/16, EU:C:2017:908, paragraph 34), and of 15 November 2018, </w:t>
      </w:r>
      <w:r w:rsidRPr="00807A92">
        <w:rPr>
          <w:rFonts w:ascii="Times New Roman" w:eastAsia="Times New Roman" w:hAnsi="Times New Roman" w:cs="Times New Roman"/>
          <w:i/>
          <w:iCs/>
          <w:sz w:val="24"/>
          <w:szCs w:val="24"/>
          <w:lang w:eastAsia="it-IT"/>
        </w:rPr>
        <w:t xml:space="preserve">BTA Baltic Insurance Company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648/17, EU:C:2018:917, paragraph 34).</w:t>
      </w:r>
    </w:p>
    <w:p w14:paraId="3483D969"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096D704">
          <v:rect id="_x0000_i90065" style="width:0;height:1.5pt" o:hralign="center" o:hrstd="t" o:hr="t" fillcolor="#a0a0a0" stroked="f"/>
        </w:pict>
      </w:r>
    </w:p>
    <w:bookmarkStart w:id="447" w:name="Footnote122"/>
    <w:p w14:paraId="413850E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"Footref122"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122</w:t>
      </w:r>
      <w:r w:rsidRPr="00807A92">
        <w:rPr>
          <w:rFonts w:ascii="Times New Roman" w:eastAsia="Times New Roman" w:hAnsi="Times New Roman" w:cs="Times New Roman"/>
          <w:sz w:val="24"/>
          <w:szCs w:val="24"/>
          <w:lang w:eastAsia="it-IT"/>
        </w:rPr>
        <w:fldChar w:fldCharType="end"/>
      </w:r>
      <w:bookmarkEnd w:id="447"/>
      <w:r w:rsidRPr="00807A92">
        <w:rPr>
          <w:rFonts w:ascii="Times New Roman" w:eastAsia="Times New Roman" w:hAnsi="Times New Roman" w:cs="Times New Roman"/>
          <w:sz w:val="24"/>
          <w:szCs w:val="24"/>
          <w:lang w:eastAsia="it-IT"/>
        </w:rPr>
        <w:t xml:space="preserve">      See, for example, judgments of 28 November 2017, </w:t>
      </w:r>
      <w:r w:rsidRPr="00807A92">
        <w:rPr>
          <w:rFonts w:ascii="Times New Roman" w:eastAsia="Times New Roman" w:hAnsi="Times New Roman" w:cs="Times New Roman"/>
          <w:i/>
          <w:iCs/>
          <w:sz w:val="24"/>
          <w:szCs w:val="24"/>
          <w:lang w:eastAsia="it-IT"/>
        </w:rPr>
        <w:t xml:space="preserve">Rodrigues de Andrade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514/16, EU:C:2017:908, paragraph 38); of 20 December 2017, Núñez Torreiro</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 xml:space="preserve">334/16, EU:C:2017:1007, paragraph 29); and of 15 November 2018, </w:t>
      </w:r>
      <w:r w:rsidRPr="00807A92">
        <w:rPr>
          <w:rFonts w:ascii="Times New Roman" w:eastAsia="Times New Roman" w:hAnsi="Times New Roman" w:cs="Times New Roman"/>
          <w:i/>
          <w:iCs/>
          <w:sz w:val="24"/>
          <w:szCs w:val="24"/>
          <w:lang w:eastAsia="it-IT"/>
        </w:rPr>
        <w:t xml:space="preserve">BTA Baltic Insurance Company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648/17, EU:C:2018:917, paragraph 44).</w:t>
      </w:r>
    </w:p>
    <w:p w14:paraId="2884C43A"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5C35E91">
          <v:rect id="_x0000_i90066" style="width:0;height:1.5pt" o:hralign="center" o:hrstd="t" o:hr="t" fillcolor="#a0a0a0" stroked="f"/>
        </w:pict>
      </w:r>
    </w:p>
    <w:bookmarkStart w:id="448" w:name="Footnote123"/>
    <w:p w14:paraId="0868A6C9"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"Footref123"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123</w:t>
      </w:r>
      <w:r w:rsidRPr="00807A92">
        <w:rPr>
          <w:rFonts w:ascii="Times New Roman" w:eastAsia="Times New Roman" w:hAnsi="Times New Roman" w:cs="Times New Roman"/>
          <w:sz w:val="24"/>
          <w:szCs w:val="24"/>
          <w:lang w:eastAsia="it-IT"/>
        </w:rPr>
        <w:fldChar w:fldCharType="end"/>
      </w:r>
      <w:bookmarkEnd w:id="448"/>
      <w:r w:rsidRPr="00807A92">
        <w:rPr>
          <w:rFonts w:ascii="Times New Roman" w:eastAsia="Times New Roman" w:hAnsi="Times New Roman" w:cs="Times New Roman"/>
          <w:sz w:val="24"/>
          <w:szCs w:val="24"/>
          <w:lang w:eastAsia="it-IT"/>
        </w:rPr>
        <w:t xml:space="preserve">      Judgment of 4 September 2014, </w:t>
      </w:r>
      <w:r w:rsidRPr="00807A92">
        <w:rPr>
          <w:rFonts w:ascii="Times New Roman" w:eastAsia="Times New Roman" w:hAnsi="Times New Roman" w:cs="Times New Roman"/>
          <w:i/>
          <w:iCs/>
          <w:sz w:val="24"/>
          <w:szCs w:val="24"/>
          <w:lang w:eastAsia="it-IT"/>
        </w:rPr>
        <w:t xml:space="preserve">Vnuk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 xml:space="preserve">162/13, EU:C:2014:2146, paragraph 59 and the operative part of that judgment). </w:t>
      </w:r>
    </w:p>
    <w:p w14:paraId="31D32BF6"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30F974D">
          <v:rect id="_x0000_i90067" style="width:0;height:1.5pt" o:hralign="center" o:hrstd="t" o:hr="t" fillcolor="#a0a0a0" stroked="f"/>
        </w:pict>
      </w:r>
    </w:p>
    <w:bookmarkStart w:id="449" w:name="Footnote124"/>
    <w:p w14:paraId="0D4A460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"Footref124"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124</w:t>
      </w:r>
      <w:r w:rsidRPr="00807A92">
        <w:rPr>
          <w:rFonts w:ascii="Times New Roman" w:eastAsia="Times New Roman" w:hAnsi="Times New Roman" w:cs="Times New Roman"/>
          <w:sz w:val="24"/>
          <w:szCs w:val="24"/>
          <w:lang w:eastAsia="it-IT"/>
        </w:rPr>
        <w:fldChar w:fldCharType="end"/>
      </w:r>
      <w:bookmarkEnd w:id="449"/>
      <w:r w:rsidRPr="00807A92">
        <w:rPr>
          <w:rFonts w:ascii="Times New Roman" w:eastAsia="Times New Roman" w:hAnsi="Times New Roman" w:cs="Times New Roman"/>
          <w:sz w:val="24"/>
          <w:szCs w:val="24"/>
          <w:lang w:eastAsia="it-IT"/>
        </w:rPr>
        <w:t xml:space="preserve">      Judgment of 28 November 2017, </w:t>
      </w:r>
      <w:r w:rsidRPr="00807A92">
        <w:rPr>
          <w:rFonts w:ascii="Times New Roman" w:eastAsia="Times New Roman" w:hAnsi="Times New Roman" w:cs="Times New Roman"/>
          <w:i/>
          <w:iCs/>
          <w:sz w:val="24"/>
          <w:szCs w:val="24"/>
          <w:lang w:eastAsia="it-IT"/>
        </w:rPr>
        <w:t xml:space="preserve">Rodrigues de Andrade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 xml:space="preserve">514/16, EU:C:2017:908, paragraph 42 and the operative part of that judgment). </w:t>
      </w:r>
    </w:p>
    <w:p w14:paraId="756D1CDB"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82C2868">
          <v:rect id="_x0000_i90068" style="width:0;height:1.5pt" o:hralign="center" o:hrstd="t" o:hr="t" fillcolor="#a0a0a0" stroked="f"/>
        </w:pict>
      </w:r>
    </w:p>
    <w:bookmarkStart w:id="450" w:name="Footnote125"/>
    <w:p w14:paraId="75F9051A"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"Footref125"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125</w:t>
      </w:r>
      <w:r w:rsidRPr="00807A92">
        <w:rPr>
          <w:rFonts w:ascii="Times New Roman" w:eastAsia="Times New Roman" w:hAnsi="Times New Roman" w:cs="Times New Roman"/>
          <w:sz w:val="24"/>
          <w:szCs w:val="24"/>
          <w:lang w:eastAsia="it-IT"/>
        </w:rPr>
        <w:fldChar w:fldCharType="end"/>
      </w:r>
      <w:bookmarkEnd w:id="450"/>
      <w:r w:rsidRPr="00807A92">
        <w:rPr>
          <w:rFonts w:ascii="Times New Roman" w:eastAsia="Times New Roman" w:hAnsi="Times New Roman" w:cs="Times New Roman"/>
          <w:sz w:val="24"/>
          <w:szCs w:val="24"/>
          <w:lang w:eastAsia="it-IT"/>
        </w:rPr>
        <w:t xml:space="preserve">      Judgment of 15 November 2018, </w:t>
      </w:r>
      <w:r w:rsidRPr="00807A92">
        <w:rPr>
          <w:rFonts w:ascii="Times New Roman" w:eastAsia="Times New Roman" w:hAnsi="Times New Roman" w:cs="Times New Roman"/>
          <w:i/>
          <w:iCs/>
          <w:sz w:val="24"/>
          <w:szCs w:val="24"/>
          <w:lang w:eastAsia="it-IT"/>
        </w:rPr>
        <w:t xml:space="preserve">BTA Baltic Insurance Company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 xml:space="preserve">648/17, EU:C:2018:917, paragraph 48 and the operative part of that judgment). </w:t>
      </w:r>
    </w:p>
    <w:p w14:paraId="6D45A6E9"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511709E7">
          <v:rect id="_x0000_i90069" style="width:0;height:1.5pt" o:hralign="center" o:hrstd="t" o:hr="t" fillcolor="#a0a0a0" stroked="f"/>
        </w:pict>
      </w:r>
    </w:p>
    <w:bookmarkStart w:id="451" w:name="Footnote126"/>
    <w:p w14:paraId="24212B3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"Footref126"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126</w:t>
      </w:r>
      <w:r w:rsidRPr="00807A92">
        <w:rPr>
          <w:rFonts w:ascii="Times New Roman" w:eastAsia="Times New Roman" w:hAnsi="Times New Roman" w:cs="Times New Roman"/>
          <w:sz w:val="24"/>
          <w:szCs w:val="24"/>
          <w:lang w:eastAsia="it-IT"/>
        </w:rPr>
        <w:fldChar w:fldCharType="end"/>
      </w:r>
      <w:bookmarkEnd w:id="451"/>
      <w:r w:rsidRPr="00807A92">
        <w:rPr>
          <w:rFonts w:ascii="Times New Roman" w:eastAsia="Times New Roman" w:hAnsi="Times New Roman" w:cs="Times New Roman"/>
          <w:sz w:val="24"/>
          <w:szCs w:val="24"/>
          <w:lang w:eastAsia="it-IT"/>
        </w:rPr>
        <w:t xml:space="preserve">      Judgment of 20 June 2019, </w:t>
      </w:r>
      <w:r w:rsidRPr="00807A92">
        <w:rPr>
          <w:rFonts w:ascii="Times New Roman" w:eastAsia="Times New Roman" w:hAnsi="Times New Roman" w:cs="Times New Roman"/>
          <w:i/>
          <w:iCs/>
          <w:sz w:val="24"/>
          <w:szCs w:val="24"/>
          <w:lang w:eastAsia="it-IT"/>
        </w:rPr>
        <w:t xml:space="preserve">Línea Directa Aseguradora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 xml:space="preserve">100/18, EU:C:2019:517, paragraph 48 and the operative part of that judgment). </w:t>
      </w:r>
    </w:p>
    <w:p w14:paraId="2783861E"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BE3C0F3">
          <v:rect id="_x0000_i90070" style="width:0;height:1.5pt" o:hralign="center" o:hrstd="t" o:hr="t" fillcolor="#a0a0a0" stroked="f"/>
        </w:pict>
      </w:r>
    </w:p>
    <w:bookmarkStart w:id="452" w:name="Footnote127"/>
    <w:p w14:paraId="7BBCFC0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"Footref127"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127</w:t>
      </w:r>
      <w:r w:rsidRPr="00807A92">
        <w:rPr>
          <w:rFonts w:ascii="Times New Roman" w:eastAsia="Times New Roman" w:hAnsi="Times New Roman" w:cs="Times New Roman"/>
          <w:sz w:val="24"/>
          <w:szCs w:val="24"/>
          <w:lang w:eastAsia="it-IT"/>
        </w:rPr>
        <w:fldChar w:fldCharType="end"/>
      </w:r>
      <w:bookmarkEnd w:id="452"/>
      <w:r w:rsidRPr="00807A92">
        <w:rPr>
          <w:rFonts w:ascii="Times New Roman" w:eastAsia="Times New Roman" w:hAnsi="Times New Roman" w:cs="Times New Roman"/>
          <w:sz w:val="24"/>
          <w:szCs w:val="24"/>
          <w:lang w:eastAsia="it-IT"/>
        </w:rPr>
        <w:t xml:space="preserve">      Directive of the European Parliament and of the Council of 4 November 2003 concerning certain aspects of the organisation of working time (OJ 2003 L 299, p. 9). According to Article 2(1) </w:t>
      </w:r>
      <w:r w:rsidRPr="00807A92">
        <w:rPr>
          <w:rFonts w:ascii="Times New Roman" w:eastAsia="Times New Roman" w:hAnsi="Times New Roman" w:cs="Times New Roman"/>
          <w:sz w:val="24"/>
          <w:szCs w:val="24"/>
          <w:lang w:eastAsia="it-IT"/>
        </w:rPr>
        <w:lastRenderedPageBreak/>
        <w:t>of that directive, ‘“working time” means any period during which the worker is working, at the employer’s disposal and carrying out his activity or duties, in accordance with national laws and/or practice’.</w:t>
      </w:r>
    </w:p>
    <w:p w14:paraId="1C1D44D4"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6B6E28E7">
          <v:rect id="_x0000_i90071" style="width:0;height:1.5pt" o:hralign="center" o:hrstd="t" o:hr="t" fillcolor="#a0a0a0" stroked="f"/>
        </w:pict>
      </w:r>
    </w:p>
    <w:bookmarkStart w:id="453" w:name="Footnote128"/>
    <w:p w14:paraId="29E639F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"Footref128"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128</w:t>
      </w:r>
      <w:r w:rsidRPr="00807A92">
        <w:rPr>
          <w:rFonts w:ascii="Times New Roman" w:eastAsia="Times New Roman" w:hAnsi="Times New Roman" w:cs="Times New Roman"/>
          <w:sz w:val="24"/>
          <w:szCs w:val="24"/>
          <w:lang w:eastAsia="it-IT"/>
        </w:rPr>
        <w:fldChar w:fldCharType="end"/>
      </w:r>
      <w:bookmarkEnd w:id="453"/>
      <w:r w:rsidRPr="00807A92">
        <w:rPr>
          <w:rFonts w:ascii="Times New Roman" w:eastAsia="Times New Roman" w:hAnsi="Times New Roman" w:cs="Times New Roman"/>
          <w:sz w:val="24"/>
          <w:szCs w:val="24"/>
          <w:lang w:eastAsia="it-IT"/>
        </w:rPr>
        <w:t xml:space="preserve">      See, for example, judgment of 9 September 2003, </w:t>
      </w:r>
      <w:r w:rsidRPr="00807A92">
        <w:rPr>
          <w:rFonts w:ascii="Times New Roman" w:eastAsia="Times New Roman" w:hAnsi="Times New Roman" w:cs="Times New Roman"/>
          <w:i/>
          <w:iCs/>
          <w:sz w:val="24"/>
          <w:szCs w:val="24"/>
          <w:lang w:eastAsia="it-IT"/>
        </w:rPr>
        <w:t>Jaeger</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 xml:space="preserve">151/02, EU:C:2003:437, paragraph 63); order of 4 March 2011, </w:t>
      </w:r>
      <w:r w:rsidRPr="00807A92">
        <w:rPr>
          <w:rFonts w:ascii="Times New Roman" w:eastAsia="Times New Roman" w:hAnsi="Times New Roman" w:cs="Times New Roman"/>
          <w:i/>
          <w:iCs/>
          <w:sz w:val="24"/>
          <w:szCs w:val="24"/>
          <w:lang w:eastAsia="it-IT"/>
        </w:rPr>
        <w:t>Grigore</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258/10, not published, EU:C:2011:122, paragraph 53 and the case-law cited); and judgment of 21 February 2018, Matzak (C</w:t>
      </w:r>
      <w:r w:rsidRPr="00807A92">
        <w:rPr>
          <w:rFonts w:ascii="Times New Roman" w:eastAsia="Times New Roman" w:hAnsi="Times New Roman" w:cs="Times New Roman"/>
          <w:sz w:val="24"/>
          <w:szCs w:val="24"/>
          <w:lang w:eastAsia="it-IT"/>
        </w:rPr>
        <w:noBreakHyphen/>
        <w:t>518/15, EU:C:2018:82, paragraph 59).</w:t>
      </w:r>
    </w:p>
    <w:p w14:paraId="004B182C"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C242538">
          <v:rect id="_x0000_i90072" style="width:0;height:1.5pt" o:hralign="center" o:hrstd="t" o:hr="t" fillcolor="#a0a0a0" stroked="f"/>
        </w:pict>
      </w:r>
    </w:p>
    <w:bookmarkStart w:id="454" w:name="Footnote129"/>
    <w:p w14:paraId="5BEAF61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"Footref129"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129</w:t>
      </w:r>
      <w:r w:rsidRPr="00807A92">
        <w:rPr>
          <w:rFonts w:ascii="Times New Roman" w:eastAsia="Times New Roman" w:hAnsi="Times New Roman" w:cs="Times New Roman"/>
          <w:sz w:val="24"/>
          <w:szCs w:val="24"/>
          <w:lang w:eastAsia="it-IT"/>
        </w:rPr>
        <w:fldChar w:fldCharType="end"/>
      </w:r>
      <w:bookmarkEnd w:id="454"/>
      <w:r w:rsidRPr="00807A92">
        <w:rPr>
          <w:rFonts w:ascii="Times New Roman" w:eastAsia="Times New Roman" w:hAnsi="Times New Roman" w:cs="Times New Roman"/>
          <w:sz w:val="24"/>
          <w:szCs w:val="24"/>
          <w:lang w:eastAsia="it-IT"/>
        </w:rPr>
        <w:t xml:space="preserve">      Judgment of 3 October 2000, </w:t>
      </w:r>
      <w:r w:rsidRPr="00807A92">
        <w:rPr>
          <w:rFonts w:ascii="Times New Roman" w:eastAsia="Times New Roman" w:hAnsi="Times New Roman" w:cs="Times New Roman"/>
          <w:i/>
          <w:iCs/>
          <w:sz w:val="24"/>
          <w:szCs w:val="24"/>
          <w:lang w:eastAsia="it-IT"/>
        </w:rPr>
        <w:t>Simap</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 xml:space="preserve">303/98, EU:C:2000:528), and order of 3 July 2001, </w:t>
      </w:r>
      <w:r w:rsidRPr="00807A92">
        <w:rPr>
          <w:rFonts w:ascii="Times New Roman" w:eastAsia="Times New Roman" w:hAnsi="Times New Roman" w:cs="Times New Roman"/>
          <w:i/>
          <w:iCs/>
          <w:sz w:val="24"/>
          <w:szCs w:val="24"/>
          <w:lang w:eastAsia="it-IT"/>
        </w:rPr>
        <w:t>CIG</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241/99, EU:C:2001:371).</w:t>
      </w:r>
    </w:p>
    <w:p w14:paraId="5FF0EE8F"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1B4C690">
          <v:rect id="_x0000_i90073" style="width:0;height:1.5pt" o:hralign="center" o:hrstd="t" o:hr="t" fillcolor="#a0a0a0" stroked="f"/>
        </w:pict>
      </w:r>
    </w:p>
    <w:bookmarkStart w:id="455" w:name="Footnote130"/>
    <w:p w14:paraId="38FCD05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"Footref130"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130</w:t>
      </w:r>
      <w:r w:rsidRPr="00807A92">
        <w:rPr>
          <w:rFonts w:ascii="Times New Roman" w:eastAsia="Times New Roman" w:hAnsi="Times New Roman" w:cs="Times New Roman"/>
          <w:sz w:val="24"/>
          <w:szCs w:val="24"/>
          <w:lang w:eastAsia="it-IT"/>
        </w:rPr>
        <w:fldChar w:fldCharType="end"/>
      </w:r>
      <w:bookmarkEnd w:id="455"/>
      <w:r w:rsidRPr="00807A92">
        <w:rPr>
          <w:rFonts w:ascii="Times New Roman" w:eastAsia="Times New Roman" w:hAnsi="Times New Roman" w:cs="Times New Roman"/>
          <w:sz w:val="24"/>
          <w:szCs w:val="24"/>
          <w:lang w:eastAsia="it-IT"/>
        </w:rPr>
        <w:t>      Judgment of 9 September 2003, Jaeger (C</w:t>
      </w:r>
      <w:r w:rsidRPr="00807A92">
        <w:rPr>
          <w:rFonts w:ascii="Times New Roman" w:eastAsia="Times New Roman" w:hAnsi="Times New Roman" w:cs="Times New Roman"/>
          <w:sz w:val="24"/>
          <w:szCs w:val="24"/>
          <w:lang w:eastAsia="it-IT"/>
        </w:rPr>
        <w:noBreakHyphen/>
        <w:t>151/02, EU:C:2003:437, paragraph 71).</w:t>
      </w:r>
    </w:p>
    <w:p w14:paraId="55D29FFB"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5F324778">
          <v:rect id="_x0000_i90074" style="width:0;height:1.5pt" o:hralign="center" o:hrstd="t" o:hr="t" fillcolor="#a0a0a0" stroked="f"/>
        </w:pict>
      </w:r>
    </w:p>
    <w:bookmarkStart w:id="456" w:name="Footnote131"/>
    <w:p w14:paraId="0C50475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"Footref131"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131</w:t>
      </w:r>
      <w:r w:rsidRPr="00807A92">
        <w:rPr>
          <w:rFonts w:ascii="Times New Roman" w:eastAsia="Times New Roman" w:hAnsi="Times New Roman" w:cs="Times New Roman"/>
          <w:sz w:val="24"/>
          <w:szCs w:val="24"/>
          <w:lang w:eastAsia="it-IT"/>
        </w:rPr>
        <w:fldChar w:fldCharType="end"/>
      </w:r>
      <w:bookmarkEnd w:id="456"/>
      <w:r w:rsidRPr="00807A92">
        <w:rPr>
          <w:rFonts w:ascii="Times New Roman" w:eastAsia="Times New Roman" w:hAnsi="Times New Roman" w:cs="Times New Roman"/>
          <w:sz w:val="24"/>
          <w:szCs w:val="24"/>
          <w:lang w:eastAsia="it-IT"/>
        </w:rPr>
        <w:t>      Judgment of 21 February 2018, Matzak (C</w:t>
      </w:r>
      <w:r w:rsidRPr="00807A92">
        <w:rPr>
          <w:rFonts w:ascii="Times New Roman" w:eastAsia="Times New Roman" w:hAnsi="Times New Roman" w:cs="Times New Roman"/>
          <w:sz w:val="24"/>
          <w:szCs w:val="24"/>
          <w:lang w:eastAsia="it-IT"/>
        </w:rPr>
        <w:noBreakHyphen/>
        <w:t>518/15, EU:C:2018:82, paragraph 65).</w:t>
      </w:r>
    </w:p>
    <w:p w14:paraId="7ECE72D4"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26ECB989">
          <v:rect id="_x0000_i90075" style="width:0;height:1.5pt" o:hralign="center" o:hrstd="t" o:hr="t" fillcolor="#a0a0a0" stroked="f"/>
        </w:pict>
      </w:r>
    </w:p>
    <w:bookmarkStart w:id="457" w:name="Footnote132"/>
    <w:p w14:paraId="51182A1F"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"Footref132"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132</w:t>
      </w:r>
      <w:r w:rsidRPr="00807A92">
        <w:rPr>
          <w:rFonts w:ascii="Times New Roman" w:eastAsia="Times New Roman" w:hAnsi="Times New Roman" w:cs="Times New Roman"/>
          <w:sz w:val="24"/>
          <w:szCs w:val="24"/>
          <w:lang w:eastAsia="it-IT"/>
        </w:rPr>
        <w:fldChar w:fldCharType="end"/>
      </w:r>
      <w:bookmarkEnd w:id="457"/>
      <w:r w:rsidRPr="00807A92">
        <w:rPr>
          <w:rFonts w:ascii="Times New Roman" w:eastAsia="Times New Roman" w:hAnsi="Times New Roman" w:cs="Times New Roman"/>
          <w:sz w:val="24"/>
          <w:szCs w:val="24"/>
          <w:lang w:eastAsia="it-IT"/>
        </w:rPr>
        <w:t>      Opinion in Wiener SI</w:t>
      </w:r>
      <w:r w:rsidRPr="00807A92">
        <w:rPr>
          <w:rFonts w:ascii="Times New Roman" w:eastAsia="Times New Roman" w:hAnsi="Times New Roman" w:cs="Times New Roman"/>
          <w:i/>
          <w:iCs/>
          <w:sz w:val="24"/>
          <w:szCs w:val="24"/>
          <w:lang w:eastAsia="it-IT"/>
        </w:rPr>
        <w:t> </w:t>
      </w:r>
      <w:r w:rsidRPr="00807A92">
        <w:rPr>
          <w:rFonts w:ascii="Times New Roman" w:eastAsia="Times New Roman" w:hAnsi="Times New Roman" w:cs="Times New Roman"/>
          <w:sz w:val="24"/>
          <w:szCs w:val="24"/>
          <w:lang w:eastAsia="it-IT"/>
        </w:rPr>
        <w:t>(C</w:t>
      </w:r>
      <w:r w:rsidRPr="00807A92">
        <w:rPr>
          <w:rFonts w:ascii="Times New Roman" w:eastAsia="Times New Roman" w:hAnsi="Times New Roman" w:cs="Times New Roman"/>
          <w:sz w:val="24"/>
          <w:szCs w:val="24"/>
          <w:lang w:eastAsia="it-IT"/>
        </w:rPr>
        <w:noBreakHyphen/>
        <w:t>338/95, EU:C:1997:352, point 50).</w:t>
      </w:r>
    </w:p>
    <w:p w14:paraId="2714D1E3"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629688AC">
          <v:rect id="_x0000_i90076" style="width:0;height:1.5pt" o:hralign="center" o:hrstd="t" o:hr="t" fillcolor="#a0a0a0" stroked="f"/>
        </w:pict>
      </w:r>
    </w:p>
    <w:bookmarkStart w:id="458" w:name="Footnote133"/>
    <w:p w14:paraId="64C4B725"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"Footref133"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133</w:t>
      </w:r>
      <w:r w:rsidRPr="00807A92">
        <w:rPr>
          <w:rFonts w:ascii="Times New Roman" w:eastAsia="Times New Roman" w:hAnsi="Times New Roman" w:cs="Times New Roman"/>
          <w:sz w:val="24"/>
          <w:szCs w:val="24"/>
          <w:lang w:eastAsia="it-IT"/>
        </w:rPr>
        <w:fldChar w:fldCharType="end"/>
      </w:r>
      <w:bookmarkEnd w:id="458"/>
      <w:r w:rsidRPr="00807A92">
        <w:rPr>
          <w:rFonts w:ascii="Times New Roman" w:eastAsia="Times New Roman" w:hAnsi="Times New Roman" w:cs="Times New Roman"/>
          <w:sz w:val="24"/>
          <w:szCs w:val="24"/>
          <w:lang w:eastAsia="it-IT"/>
        </w:rPr>
        <w:t xml:space="preserve">      My opinion in </w:t>
      </w:r>
      <w:r w:rsidRPr="00807A92">
        <w:rPr>
          <w:rFonts w:ascii="Times New Roman" w:eastAsia="Times New Roman" w:hAnsi="Times New Roman" w:cs="Times New Roman"/>
          <w:i/>
          <w:iCs/>
          <w:sz w:val="24"/>
          <w:szCs w:val="24"/>
          <w:lang w:eastAsia="it-IT"/>
        </w:rPr>
        <w:t>Van Ameyde España SA</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923/19, EU:C:2021:125).</w:t>
      </w:r>
    </w:p>
    <w:p w14:paraId="69B303CB"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4060866">
          <v:rect id="_x0000_i90077" style="width:0;height:1.5pt" o:hralign="center" o:hrstd="t" o:hr="t" fillcolor="#a0a0a0" stroked="f"/>
        </w:pict>
      </w:r>
    </w:p>
    <w:bookmarkStart w:id="459" w:name="Footnote134"/>
    <w:p w14:paraId="13A57E8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"Footref134"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134</w:t>
      </w:r>
      <w:r w:rsidRPr="00807A92">
        <w:rPr>
          <w:rFonts w:ascii="Times New Roman" w:eastAsia="Times New Roman" w:hAnsi="Times New Roman" w:cs="Times New Roman"/>
          <w:sz w:val="24"/>
          <w:szCs w:val="24"/>
          <w:lang w:eastAsia="it-IT"/>
        </w:rPr>
        <w:fldChar w:fldCharType="end"/>
      </w:r>
      <w:bookmarkEnd w:id="459"/>
      <w:r w:rsidRPr="00807A92">
        <w:rPr>
          <w:rFonts w:ascii="Times New Roman" w:eastAsia="Times New Roman" w:hAnsi="Times New Roman" w:cs="Times New Roman"/>
          <w:sz w:val="24"/>
          <w:szCs w:val="24"/>
          <w:lang w:eastAsia="it-IT"/>
        </w:rPr>
        <w:t xml:space="preserve">      To come back again to the metaphor made by Advocate General Wahl, above in point 103 of this Opinion. </w:t>
      </w:r>
    </w:p>
    <w:p w14:paraId="4EF3DD94"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367D09B2">
          <v:rect id="_x0000_i90078" style="width:0;height:1.5pt" o:hralign="center" o:hrstd="t" o:hr="t" fillcolor="#a0a0a0" stroked="f"/>
        </w:pict>
      </w:r>
    </w:p>
    <w:bookmarkStart w:id="460" w:name="Footnote135"/>
    <w:p w14:paraId="7C885D1D"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"Footref135"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135</w:t>
      </w:r>
      <w:r w:rsidRPr="00807A92">
        <w:rPr>
          <w:rFonts w:ascii="Times New Roman" w:eastAsia="Times New Roman" w:hAnsi="Times New Roman" w:cs="Times New Roman"/>
          <w:sz w:val="24"/>
          <w:szCs w:val="24"/>
          <w:lang w:eastAsia="it-IT"/>
        </w:rPr>
        <w:fldChar w:fldCharType="end"/>
      </w:r>
      <w:bookmarkEnd w:id="460"/>
      <w:r w:rsidRPr="00807A92">
        <w:rPr>
          <w:rFonts w:ascii="Times New Roman" w:eastAsia="Times New Roman" w:hAnsi="Times New Roman" w:cs="Times New Roman"/>
          <w:sz w:val="24"/>
          <w:szCs w:val="24"/>
          <w:lang w:eastAsia="it-IT"/>
        </w:rPr>
        <w:t xml:space="preserve">      As had been suggested in the past under the heading of a ‘green light procedure’ or other ways of reforming the preliminary rulings procedure – see, for example, Due, O., ‘The Working Party Report’ in Dashwood, A., and Johnston, A.C., </w:t>
      </w:r>
      <w:r w:rsidRPr="00807A92">
        <w:rPr>
          <w:rFonts w:ascii="Times New Roman" w:eastAsia="Times New Roman" w:hAnsi="Times New Roman" w:cs="Times New Roman"/>
          <w:i/>
          <w:iCs/>
          <w:sz w:val="24"/>
          <w:szCs w:val="24"/>
          <w:lang w:eastAsia="it-IT"/>
        </w:rPr>
        <w:t>The Future of the Judicial System of the European Union</w:t>
      </w:r>
      <w:r w:rsidRPr="00807A92">
        <w:rPr>
          <w:rFonts w:ascii="Times New Roman" w:eastAsia="Times New Roman" w:hAnsi="Times New Roman" w:cs="Times New Roman"/>
          <w:sz w:val="24"/>
          <w:szCs w:val="24"/>
          <w:lang w:eastAsia="it-IT"/>
        </w:rPr>
        <w:t xml:space="preserve">, Hart, Oxford, 2001. On the other hand, this certainly does not preclude the referring court from doing so, if it so wishes. </w:t>
      </w:r>
    </w:p>
    <w:p w14:paraId="16692663"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5E9C6EE">
          <v:rect id="_x0000_i90079" style="width:0;height:1.5pt" o:hralign="center" o:hrstd="t" o:hr="t" fillcolor="#a0a0a0" stroked="f"/>
        </w:pict>
      </w:r>
    </w:p>
    <w:bookmarkStart w:id="461" w:name="Footnote136"/>
    <w:p w14:paraId="5AF25963"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"Footref136"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136</w:t>
      </w:r>
      <w:r w:rsidRPr="00807A92">
        <w:rPr>
          <w:rFonts w:ascii="Times New Roman" w:eastAsia="Times New Roman" w:hAnsi="Times New Roman" w:cs="Times New Roman"/>
          <w:sz w:val="24"/>
          <w:szCs w:val="24"/>
          <w:lang w:eastAsia="it-IT"/>
        </w:rPr>
        <w:fldChar w:fldCharType="end"/>
      </w:r>
      <w:bookmarkEnd w:id="461"/>
      <w:r w:rsidRPr="00807A92">
        <w:rPr>
          <w:rFonts w:ascii="Times New Roman" w:eastAsia="Times New Roman" w:hAnsi="Times New Roman" w:cs="Times New Roman"/>
          <w:sz w:val="24"/>
          <w:szCs w:val="24"/>
          <w:lang w:eastAsia="it-IT"/>
        </w:rPr>
        <w:t>      See also, to that effect, Opinion of Advocate General Wahl in Joined Cases X and van Dijk (C</w:t>
      </w:r>
      <w:r w:rsidRPr="00807A92">
        <w:rPr>
          <w:rFonts w:ascii="Times New Roman" w:eastAsia="Times New Roman" w:hAnsi="Times New Roman" w:cs="Times New Roman"/>
          <w:sz w:val="24"/>
          <w:szCs w:val="24"/>
          <w:lang w:eastAsia="it-IT"/>
        </w:rPr>
        <w:noBreakHyphen/>
        <w:t>72/14 and C</w:t>
      </w:r>
      <w:r w:rsidRPr="00807A92">
        <w:rPr>
          <w:rFonts w:ascii="Times New Roman" w:eastAsia="Times New Roman" w:hAnsi="Times New Roman" w:cs="Times New Roman"/>
          <w:sz w:val="24"/>
          <w:szCs w:val="24"/>
          <w:lang w:eastAsia="it-IT"/>
        </w:rPr>
        <w:noBreakHyphen/>
        <w:t xml:space="preserve">197/14, EU:C:2015:319, point 68). </w:t>
      </w:r>
    </w:p>
    <w:p w14:paraId="1E5C185D"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24818D6D">
          <v:rect id="_x0000_i90080" style="width:0;height:1.5pt" o:hralign="center" o:hrstd="t" o:hr="t" fillcolor="#a0a0a0" stroked="f"/>
        </w:pict>
      </w:r>
    </w:p>
    <w:bookmarkStart w:id="462" w:name="Footnote137"/>
    <w:p w14:paraId="4E1F62C1"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lastRenderedPageBreak/>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"Footref137"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137</w:t>
      </w:r>
      <w:r w:rsidRPr="00807A92">
        <w:rPr>
          <w:rFonts w:ascii="Times New Roman" w:eastAsia="Times New Roman" w:hAnsi="Times New Roman" w:cs="Times New Roman"/>
          <w:sz w:val="24"/>
          <w:szCs w:val="24"/>
          <w:lang w:eastAsia="it-IT"/>
        </w:rPr>
        <w:fldChar w:fldCharType="end"/>
      </w:r>
      <w:bookmarkEnd w:id="462"/>
      <w:r w:rsidRPr="00807A92">
        <w:rPr>
          <w:rFonts w:ascii="Times New Roman" w:eastAsia="Times New Roman" w:hAnsi="Times New Roman" w:cs="Times New Roman"/>
          <w:sz w:val="24"/>
          <w:szCs w:val="24"/>
          <w:lang w:eastAsia="it-IT"/>
        </w:rPr>
        <w:t xml:space="preserve">      Judgment of 27 March 1963, </w:t>
      </w:r>
      <w:r w:rsidRPr="00807A92">
        <w:rPr>
          <w:rFonts w:ascii="Times New Roman" w:eastAsia="Times New Roman" w:hAnsi="Times New Roman" w:cs="Times New Roman"/>
          <w:i/>
          <w:iCs/>
          <w:sz w:val="24"/>
          <w:szCs w:val="24"/>
          <w:lang w:eastAsia="it-IT"/>
        </w:rPr>
        <w:t>Da Costa and Others</w:t>
      </w:r>
      <w:r w:rsidRPr="00807A92">
        <w:rPr>
          <w:rFonts w:ascii="Times New Roman" w:eastAsia="Times New Roman" w:hAnsi="Times New Roman" w:cs="Times New Roman"/>
          <w:sz w:val="24"/>
          <w:szCs w:val="24"/>
          <w:lang w:eastAsia="it-IT"/>
        </w:rPr>
        <w:t xml:space="preserve"> (28/62 to 30/62, EU:C:1963:6).</w:t>
      </w:r>
    </w:p>
    <w:p w14:paraId="251C5E15"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91B56E8">
          <v:rect id="_x0000_i90081" style="width:0;height:1.5pt" o:hralign="center" o:hrstd="t" o:hr="t" fillcolor="#a0a0a0" stroked="f"/>
        </w:pict>
      </w:r>
    </w:p>
    <w:bookmarkStart w:id="463" w:name="Footnote138"/>
    <w:p w14:paraId="4C52088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"Footref138"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138</w:t>
      </w:r>
      <w:r w:rsidRPr="00807A92">
        <w:rPr>
          <w:rFonts w:ascii="Times New Roman" w:eastAsia="Times New Roman" w:hAnsi="Times New Roman" w:cs="Times New Roman"/>
          <w:sz w:val="24"/>
          <w:szCs w:val="24"/>
          <w:lang w:eastAsia="it-IT"/>
        </w:rPr>
        <w:fldChar w:fldCharType="end"/>
      </w:r>
      <w:bookmarkEnd w:id="463"/>
      <w:r w:rsidRPr="00807A92">
        <w:rPr>
          <w:rFonts w:ascii="Times New Roman" w:eastAsia="Times New Roman" w:hAnsi="Times New Roman" w:cs="Times New Roman"/>
          <w:sz w:val="24"/>
          <w:szCs w:val="24"/>
          <w:lang w:eastAsia="it-IT"/>
        </w:rPr>
        <w:t xml:space="preserve">      Judgment of 6 October 1982, </w:t>
      </w:r>
      <w:r w:rsidRPr="00807A92">
        <w:rPr>
          <w:rFonts w:ascii="Times New Roman" w:eastAsia="Times New Roman" w:hAnsi="Times New Roman" w:cs="Times New Roman"/>
          <w:i/>
          <w:iCs/>
          <w:sz w:val="24"/>
          <w:szCs w:val="24"/>
          <w:lang w:eastAsia="it-IT"/>
        </w:rPr>
        <w:t xml:space="preserve">CILFIT and Others </w:t>
      </w:r>
      <w:r w:rsidRPr="00807A92">
        <w:rPr>
          <w:rFonts w:ascii="Times New Roman" w:eastAsia="Times New Roman" w:hAnsi="Times New Roman" w:cs="Times New Roman"/>
          <w:sz w:val="24"/>
          <w:szCs w:val="24"/>
          <w:lang w:eastAsia="it-IT"/>
        </w:rPr>
        <w:t>(283/81, EU:C:1982:335, paragraphs 13 and 14).</w:t>
      </w:r>
    </w:p>
    <w:p w14:paraId="021EB031"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48E1C09F">
          <v:rect id="_x0000_i90082" style="width:0;height:1.5pt" o:hralign="center" o:hrstd="t" o:hr="t" fillcolor="#a0a0a0" stroked="f"/>
        </w:pict>
      </w:r>
    </w:p>
    <w:bookmarkStart w:id="464" w:name="Footnote139"/>
    <w:p w14:paraId="6E59E64B"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"Footref139"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139</w:t>
      </w:r>
      <w:r w:rsidRPr="00807A92">
        <w:rPr>
          <w:rFonts w:ascii="Times New Roman" w:eastAsia="Times New Roman" w:hAnsi="Times New Roman" w:cs="Times New Roman"/>
          <w:sz w:val="24"/>
          <w:szCs w:val="24"/>
          <w:lang w:eastAsia="it-IT"/>
        </w:rPr>
        <w:fldChar w:fldCharType="end"/>
      </w:r>
      <w:bookmarkEnd w:id="464"/>
      <w:r w:rsidRPr="00807A92">
        <w:rPr>
          <w:rFonts w:ascii="Times New Roman" w:eastAsia="Times New Roman" w:hAnsi="Times New Roman" w:cs="Times New Roman"/>
          <w:sz w:val="24"/>
          <w:szCs w:val="24"/>
          <w:lang w:eastAsia="it-IT"/>
        </w:rPr>
        <w:t xml:space="preserve">      Set out above, point 139 of this Opinion. </w:t>
      </w:r>
    </w:p>
    <w:p w14:paraId="09E4C8AF"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17A77266">
          <v:rect id="_x0000_i90083" style="width:0;height:1.5pt" o:hralign="center" o:hrstd="t" o:hr="t" fillcolor="#a0a0a0" stroked="f"/>
        </w:pict>
      </w:r>
    </w:p>
    <w:bookmarkStart w:id="465" w:name="Footnote140"/>
    <w:p w14:paraId="28F38850"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"Footref140"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140</w:t>
      </w:r>
      <w:r w:rsidRPr="00807A92">
        <w:rPr>
          <w:rFonts w:ascii="Times New Roman" w:eastAsia="Times New Roman" w:hAnsi="Times New Roman" w:cs="Times New Roman"/>
          <w:sz w:val="24"/>
          <w:szCs w:val="24"/>
          <w:lang w:eastAsia="it-IT"/>
        </w:rPr>
        <w:fldChar w:fldCharType="end"/>
      </w:r>
      <w:bookmarkEnd w:id="465"/>
      <w:r w:rsidRPr="00807A92">
        <w:rPr>
          <w:rFonts w:ascii="Times New Roman" w:eastAsia="Times New Roman" w:hAnsi="Times New Roman" w:cs="Times New Roman"/>
          <w:sz w:val="24"/>
          <w:szCs w:val="24"/>
          <w:lang w:eastAsia="it-IT"/>
        </w:rPr>
        <w:t>      One may only contrast, from the cases discussed in this Opinion, judgment of 4 October 2018, Commission v France (Advance payment) (C</w:t>
      </w:r>
      <w:r w:rsidRPr="00807A92">
        <w:rPr>
          <w:rFonts w:ascii="Times New Roman" w:eastAsia="Times New Roman" w:hAnsi="Times New Roman" w:cs="Times New Roman"/>
          <w:sz w:val="24"/>
          <w:szCs w:val="24"/>
          <w:lang w:eastAsia="it-IT"/>
        </w:rPr>
        <w:noBreakHyphen/>
        <w:t>416/17, EU:C:2018:811), on the one hand, and judgment of 28 July 2016, Association France Nature Environnement (C</w:t>
      </w:r>
      <w:r w:rsidRPr="00807A92">
        <w:rPr>
          <w:rFonts w:ascii="Times New Roman" w:eastAsia="Times New Roman" w:hAnsi="Times New Roman" w:cs="Times New Roman"/>
          <w:sz w:val="24"/>
          <w:szCs w:val="24"/>
          <w:lang w:eastAsia="it-IT"/>
        </w:rPr>
        <w:noBreakHyphen/>
        <w:t xml:space="preserve">379/15, EU:C:2016:603), on the other hand. </w:t>
      </w:r>
    </w:p>
    <w:p w14:paraId="21C13B62"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0DDC7658">
          <v:rect id="_x0000_i90084" style="width:0;height:1.5pt" o:hralign="center" o:hrstd="t" o:hr="t" fillcolor="#a0a0a0" stroked="f"/>
        </w:pict>
      </w:r>
    </w:p>
    <w:bookmarkStart w:id="466" w:name="Footnote141"/>
    <w:p w14:paraId="0D0FDBAC"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"Footref141"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141</w:t>
      </w:r>
      <w:r w:rsidRPr="00807A92">
        <w:rPr>
          <w:rFonts w:ascii="Times New Roman" w:eastAsia="Times New Roman" w:hAnsi="Times New Roman" w:cs="Times New Roman"/>
          <w:sz w:val="24"/>
          <w:szCs w:val="24"/>
          <w:lang w:eastAsia="it-IT"/>
        </w:rPr>
        <w:fldChar w:fldCharType="end"/>
      </w:r>
      <w:bookmarkEnd w:id="466"/>
      <w:r w:rsidRPr="00807A92">
        <w:rPr>
          <w:rFonts w:ascii="Times New Roman" w:eastAsia="Times New Roman" w:hAnsi="Times New Roman" w:cs="Times New Roman"/>
          <w:sz w:val="24"/>
          <w:szCs w:val="24"/>
          <w:lang w:eastAsia="it-IT"/>
        </w:rPr>
        <w:t xml:space="preserve">      For an illustration, see the recent judgment of 5 December 2017, </w:t>
      </w:r>
      <w:r w:rsidRPr="00807A92">
        <w:rPr>
          <w:rFonts w:ascii="Times New Roman" w:eastAsia="Times New Roman" w:hAnsi="Times New Roman" w:cs="Times New Roman"/>
          <w:i/>
          <w:iCs/>
          <w:sz w:val="24"/>
          <w:szCs w:val="24"/>
          <w:lang w:eastAsia="it-IT"/>
        </w:rPr>
        <w:t>M.A.S. and M.B.</w:t>
      </w:r>
      <w:r w:rsidRPr="00807A92">
        <w:rPr>
          <w:rFonts w:ascii="Times New Roman" w:eastAsia="Times New Roman" w:hAnsi="Times New Roman" w:cs="Times New Roman"/>
          <w:sz w:val="24"/>
          <w:szCs w:val="24"/>
          <w:lang w:eastAsia="it-IT"/>
        </w:rPr>
        <w:t xml:space="preserve"> (C</w:t>
      </w:r>
      <w:r w:rsidRPr="00807A92">
        <w:rPr>
          <w:rFonts w:ascii="Times New Roman" w:eastAsia="Times New Roman" w:hAnsi="Times New Roman" w:cs="Times New Roman"/>
          <w:sz w:val="24"/>
          <w:szCs w:val="24"/>
          <w:lang w:eastAsia="it-IT"/>
        </w:rPr>
        <w:noBreakHyphen/>
        <w:t>42/17, EU:C:2017:936).</w:t>
      </w:r>
    </w:p>
    <w:p w14:paraId="346B0A63"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5DB4C5CA">
          <v:rect id="_x0000_i90085" style="width:0;height:1.5pt" o:hralign="center" o:hrstd="t" o:hr="t" fillcolor="#a0a0a0" stroked="f"/>
        </w:pict>
      </w:r>
    </w:p>
    <w:bookmarkStart w:id="467" w:name="Footnote142"/>
    <w:p w14:paraId="097A3496"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"Footref142"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142</w:t>
      </w:r>
      <w:r w:rsidRPr="00807A92">
        <w:rPr>
          <w:rFonts w:ascii="Times New Roman" w:eastAsia="Times New Roman" w:hAnsi="Times New Roman" w:cs="Times New Roman"/>
          <w:sz w:val="24"/>
          <w:szCs w:val="24"/>
          <w:lang w:eastAsia="it-IT"/>
        </w:rPr>
        <w:fldChar w:fldCharType="end"/>
      </w:r>
      <w:bookmarkEnd w:id="467"/>
      <w:r w:rsidRPr="00807A92">
        <w:rPr>
          <w:rFonts w:ascii="Times New Roman" w:eastAsia="Times New Roman" w:hAnsi="Times New Roman" w:cs="Times New Roman"/>
          <w:sz w:val="24"/>
          <w:szCs w:val="24"/>
          <w:lang w:eastAsia="it-IT"/>
        </w:rPr>
        <w:t xml:space="preserve">      Where ‘clarification’ serves as a euphemism for effective overruling. </w:t>
      </w:r>
    </w:p>
    <w:p w14:paraId="30400FF2"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7B14BC95">
          <v:rect id="_x0000_i90086" style="width:0;height:1.5pt" o:hralign="center" o:hrstd="t" o:hr="t" fillcolor="#a0a0a0" stroked="f"/>
        </w:pict>
      </w:r>
    </w:p>
    <w:bookmarkStart w:id="468" w:name="Footnote143"/>
    <w:p w14:paraId="24B08C42"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"Footref143"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143</w:t>
      </w:r>
      <w:r w:rsidRPr="00807A92">
        <w:rPr>
          <w:rFonts w:ascii="Times New Roman" w:eastAsia="Times New Roman" w:hAnsi="Times New Roman" w:cs="Times New Roman"/>
          <w:sz w:val="24"/>
          <w:szCs w:val="24"/>
          <w:lang w:eastAsia="it-IT"/>
        </w:rPr>
        <w:fldChar w:fldCharType="end"/>
      </w:r>
      <w:bookmarkEnd w:id="468"/>
      <w:r w:rsidRPr="00807A92">
        <w:rPr>
          <w:rFonts w:ascii="Times New Roman" w:eastAsia="Times New Roman" w:hAnsi="Times New Roman" w:cs="Times New Roman"/>
          <w:sz w:val="24"/>
          <w:szCs w:val="24"/>
          <w:lang w:eastAsia="it-IT"/>
        </w:rPr>
        <w:t>      See, already in this sense, judgment of 28 July 2016, Association France Nature Environnement (C</w:t>
      </w:r>
      <w:r w:rsidRPr="00807A92">
        <w:rPr>
          <w:rFonts w:ascii="Times New Roman" w:eastAsia="Times New Roman" w:hAnsi="Times New Roman" w:cs="Times New Roman"/>
          <w:sz w:val="24"/>
          <w:szCs w:val="24"/>
          <w:lang w:eastAsia="it-IT"/>
        </w:rPr>
        <w:noBreakHyphen/>
        <w:t xml:space="preserve">379/15, EU:C:2016:603, paragraph 53). </w:t>
      </w:r>
    </w:p>
    <w:p w14:paraId="2401958C" w14:textId="77777777" w:rsidR="00807A92" w:rsidRPr="00807A92" w:rsidRDefault="00807A92" w:rsidP="00807A92">
      <w:pPr>
        <w:spacing w:after="0"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pict w14:anchorId="6593970A">
          <v:rect id="_x0000_i90087" style="width:0;height:1.5pt" o:hralign="center" o:hrstd="t" o:hr="t" fillcolor="#a0a0a0" stroked="f"/>
        </w:pict>
      </w:r>
    </w:p>
    <w:bookmarkStart w:id="469" w:name="Footnote144"/>
    <w:p w14:paraId="6BD2DFF8" w14:textId="77777777" w:rsidR="00807A92" w:rsidRPr="00807A92" w:rsidRDefault="00807A92" w:rsidP="00807A92">
      <w:pPr>
        <w:spacing w:before="100" w:beforeAutospacing="1" w:after="100" w:afterAutospacing="1" w:line="240" w:lineRule="auto"/>
        <w:rPr>
          <w:rFonts w:ascii="Times New Roman" w:eastAsia="Times New Roman" w:hAnsi="Times New Roman" w:cs="Times New Roman"/>
          <w:sz w:val="24"/>
          <w:szCs w:val="24"/>
          <w:lang w:eastAsia="it-IT"/>
        </w:rPr>
      </w:pPr>
      <w:r w:rsidRPr="00807A92">
        <w:rPr>
          <w:rFonts w:ascii="Times New Roman" w:eastAsia="Times New Roman" w:hAnsi="Times New Roman" w:cs="Times New Roman"/>
          <w:sz w:val="24"/>
          <w:szCs w:val="24"/>
          <w:lang w:eastAsia="it-IT"/>
        </w:rPr>
        <w:fldChar w:fldCharType="begin"/>
      </w:r>
      <w:r w:rsidRPr="00807A92">
        <w:rPr>
          <w:rFonts w:ascii="Times New Roman" w:eastAsia="Times New Roman" w:hAnsi="Times New Roman" w:cs="Times New Roman"/>
          <w:sz w:val="24"/>
          <w:szCs w:val="24"/>
          <w:lang w:eastAsia="it-IT"/>
        </w:rPr>
        <w:instrText xml:space="preserve"> HYPERLINK "https://curia.europa.eu/juris/document/document.jsf?text=&amp;docid=239904&amp;pageIndex=0&amp;doclang=EN&amp;mode=lst&amp;dir=&amp;occ=first&amp;part=1&amp;cid=2478480" \l "Footref144" </w:instrText>
      </w:r>
      <w:r w:rsidRPr="00807A92">
        <w:rPr>
          <w:rFonts w:ascii="Times New Roman" w:eastAsia="Times New Roman" w:hAnsi="Times New Roman" w:cs="Times New Roman"/>
          <w:sz w:val="24"/>
          <w:szCs w:val="24"/>
          <w:lang w:eastAsia="it-IT"/>
        </w:rPr>
        <w:fldChar w:fldCharType="separate"/>
      </w:r>
      <w:r w:rsidRPr="00807A92">
        <w:rPr>
          <w:rFonts w:ascii="Times New Roman" w:eastAsia="Times New Roman" w:hAnsi="Times New Roman" w:cs="Times New Roman"/>
          <w:color w:val="0000FF"/>
          <w:sz w:val="24"/>
          <w:szCs w:val="24"/>
          <w:u w:val="single"/>
          <w:lang w:eastAsia="it-IT"/>
        </w:rPr>
        <w:t>144</w:t>
      </w:r>
      <w:r w:rsidRPr="00807A92">
        <w:rPr>
          <w:rFonts w:ascii="Times New Roman" w:eastAsia="Times New Roman" w:hAnsi="Times New Roman" w:cs="Times New Roman"/>
          <w:sz w:val="24"/>
          <w:szCs w:val="24"/>
          <w:lang w:eastAsia="it-IT"/>
        </w:rPr>
        <w:fldChar w:fldCharType="end"/>
      </w:r>
      <w:bookmarkEnd w:id="469"/>
      <w:r w:rsidRPr="00807A92">
        <w:rPr>
          <w:rFonts w:ascii="Times New Roman" w:eastAsia="Times New Roman" w:hAnsi="Times New Roman" w:cs="Times New Roman"/>
          <w:sz w:val="24"/>
          <w:szCs w:val="24"/>
          <w:lang w:eastAsia="it-IT"/>
        </w:rPr>
        <w:t xml:space="preserve">      Walton, I., </w:t>
      </w:r>
      <w:r w:rsidRPr="00807A92">
        <w:rPr>
          <w:rFonts w:ascii="Times New Roman" w:eastAsia="Times New Roman" w:hAnsi="Times New Roman" w:cs="Times New Roman"/>
          <w:i/>
          <w:iCs/>
          <w:sz w:val="24"/>
          <w:szCs w:val="24"/>
          <w:lang w:eastAsia="it-IT"/>
        </w:rPr>
        <w:t>The Complete Angler</w:t>
      </w:r>
      <w:r w:rsidRPr="00807A92">
        <w:rPr>
          <w:rFonts w:ascii="Times New Roman" w:eastAsia="Times New Roman" w:hAnsi="Times New Roman" w:cs="Times New Roman"/>
          <w:sz w:val="24"/>
          <w:szCs w:val="24"/>
          <w:lang w:eastAsia="it-IT"/>
        </w:rPr>
        <w:t>, Gay &amp; Bird, London, 1901, Chapter V.</w:t>
      </w:r>
    </w:p>
    <w:p w14:paraId="13E70B35" w14:textId="77777777" w:rsidR="00807A92" w:rsidRPr="00807A92" w:rsidRDefault="00807A92" w:rsidP="00807A92">
      <w:pPr>
        <w:pBdr>
          <w:top w:val="single" w:sz="6" w:space="1" w:color="auto"/>
        </w:pBdr>
        <w:spacing w:after="0" w:line="240" w:lineRule="auto"/>
        <w:jc w:val="center"/>
        <w:rPr>
          <w:rFonts w:ascii="Arial" w:eastAsia="Times New Roman" w:hAnsi="Arial" w:cs="Arial"/>
          <w:vanish/>
          <w:sz w:val="16"/>
          <w:szCs w:val="16"/>
          <w:lang w:eastAsia="it-IT"/>
        </w:rPr>
      </w:pPr>
      <w:r w:rsidRPr="00807A92">
        <w:rPr>
          <w:rFonts w:ascii="Arial" w:eastAsia="Times New Roman" w:hAnsi="Arial" w:cs="Arial"/>
          <w:vanish/>
          <w:sz w:val="16"/>
          <w:szCs w:val="16"/>
          <w:lang w:eastAsia="it-IT"/>
        </w:rPr>
        <w:t>Fine modulo</w:t>
      </w:r>
    </w:p>
    <w:p w14:paraId="36B9D59E" w14:textId="77777777" w:rsidR="000D427D" w:rsidRPr="00807A92" w:rsidRDefault="000D427D" w:rsidP="00807A92"/>
    <w:sectPr w:rsidR="000D427D" w:rsidRPr="00807A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F76"/>
    <w:multiLevelType w:val="multilevel"/>
    <w:tmpl w:val="056C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4585F"/>
    <w:multiLevelType w:val="multilevel"/>
    <w:tmpl w:val="DF3C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9514F"/>
    <w:multiLevelType w:val="multilevel"/>
    <w:tmpl w:val="3258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C65CF"/>
    <w:multiLevelType w:val="multilevel"/>
    <w:tmpl w:val="DF9E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B6C90"/>
    <w:multiLevelType w:val="multilevel"/>
    <w:tmpl w:val="5B6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74C98"/>
    <w:multiLevelType w:val="multilevel"/>
    <w:tmpl w:val="474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BE5CEC"/>
    <w:multiLevelType w:val="multilevel"/>
    <w:tmpl w:val="01C4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001A7"/>
    <w:multiLevelType w:val="multilevel"/>
    <w:tmpl w:val="21DA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2A0FED"/>
    <w:multiLevelType w:val="multilevel"/>
    <w:tmpl w:val="433A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7"/>
  </w:num>
  <w:num w:numId="6">
    <w:abstractNumId w:val="1"/>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6B"/>
    <w:rsid w:val="000D34DC"/>
    <w:rsid w:val="000D427D"/>
    <w:rsid w:val="00496B58"/>
    <w:rsid w:val="007A0E58"/>
    <w:rsid w:val="00807A92"/>
    <w:rsid w:val="008F646B"/>
    <w:rsid w:val="00AA456C"/>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78DC"/>
  <w15:chartTrackingRefBased/>
  <w15:docId w15:val="{13CA0CF3-8352-4CB6-BA80-A54337A3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customStyle="1" w:styleId="msonormal0">
    <w:name w:val="msonormal"/>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8F646B"/>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F646B"/>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8F646B"/>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F646B"/>
    <w:rPr>
      <w:rFonts w:ascii="Arial" w:eastAsia="Times New Roman" w:hAnsi="Arial" w:cs="Arial"/>
      <w:vanish/>
      <w:sz w:val="16"/>
      <w:szCs w:val="16"/>
      <w:lang w:eastAsia="it-IT"/>
    </w:rPr>
  </w:style>
  <w:style w:type="character" w:customStyle="1" w:styleId="first">
    <w:name w:val="first"/>
    <w:basedOn w:val="Carpredefinitoparagrafo"/>
    <w:rsid w:val="008F646B"/>
  </w:style>
  <w:style w:type="character" w:customStyle="1" w:styleId="last">
    <w:name w:val="last"/>
    <w:basedOn w:val="Carpredefinitoparagrafo"/>
    <w:rsid w:val="008F646B"/>
  </w:style>
  <w:style w:type="paragraph" w:styleId="NormaleWeb">
    <w:name w:val="Normal (Web)"/>
    <w:basedOn w:val="Normale"/>
    <w:uiPriority w:val="99"/>
    <w:semiHidden/>
    <w:unhideWhenUsed/>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dden">
    <w:name w:val="hidden"/>
    <w:basedOn w:val="Carpredefinitoparagrafo"/>
    <w:rsid w:val="008F646B"/>
  </w:style>
  <w:style w:type="character" w:styleId="Collegamentoipertestuale">
    <w:name w:val="Hyperlink"/>
    <w:basedOn w:val="Carpredefinitoparagrafo"/>
    <w:uiPriority w:val="99"/>
    <w:semiHidden/>
    <w:unhideWhenUsed/>
    <w:rsid w:val="008F646B"/>
    <w:rPr>
      <w:color w:val="0000FF"/>
      <w:u w:val="single"/>
    </w:rPr>
  </w:style>
  <w:style w:type="character" w:styleId="Collegamentovisitato">
    <w:name w:val="FollowedHyperlink"/>
    <w:basedOn w:val="Carpredefinitoparagrafo"/>
    <w:uiPriority w:val="99"/>
    <w:semiHidden/>
    <w:unhideWhenUsed/>
    <w:rsid w:val="008F646B"/>
    <w:rPr>
      <w:color w:val="800080"/>
      <w:u w:val="single"/>
    </w:rPr>
  </w:style>
  <w:style w:type="character" w:styleId="Enfasigrassetto">
    <w:name w:val="Strong"/>
    <w:basedOn w:val="Carpredefinitoparagrafo"/>
    <w:uiPriority w:val="22"/>
    <w:qFormat/>
    <w:rsid w:val="008F646B"/>
    <w:rPr>
      <w:b/>
      <w:bCs/>
    </w:rPr>
  </w:style>
  <w:style w:type="character" w:customStyle="1" w:styleId="outputecli">
    <w:name w:val="outputecli"/>
    <w:basedOn w:val="Carpredefinitoparagrafo"/>
    <w:rsid w:val="008F646B"/>
  </w:style>
  <w:style w:type="paragraph" w:customStyle="1" w:styleId="c36centre">
    <w:name w:val="c36centre"/>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8centregrasgrandespacement">
    <w:name w:val="c38centregrasgrandespacement"/>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7centregras">
    <w:name w:val="c37centregras"/>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9centreespacement">
    <w:name w:val="c39centreespacement"/>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1">
    <w:name w:val="ctoc1"/>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2">
    <w:name w:val="ctoc2"/>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3">
    <w:name w:val="ctoc3"/>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1titrenumerote1">
    <w:name w:val="c21titrenumerote1"/>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altn">
    <w:name w:val="c01pointaltn"/>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2titrenumerote2">
    <w:name w:val="c22titrenumerote2"/>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3titrenumerote3">
    <w:name w:val="c23titrenumerote3"/>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0footnotelangue">
    <w:name w:val="c40footnotelangue"/>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footnotetext">
    <w:name w:val="cfootnotetext"/>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6021">
      <w:bodyDiv w:val="1"/>
      <w:marLeft w:val="0"/>
      <w:marRight w:val="0"/>
      <w:marTop w:val="0"/>
      <w:marBottom w:val="0"/>
      <w:divBdr>
        <w:top w:val="none" w:sz="0" w:space="0" w:color="auto"/>
        <w:left w:val="none" w:sz="0" w:space="0" w:color="auto"/>
        <w:bottom w:val="none" w:sz="0" w:space="0" w:color="auto"/>
        <w:right w:val="none" w:sz="0" w:space="0" w:color="auto"/>
      </w:divBdr>
      <w:divsChild>
        <w:div w:id="1205100593">
          <w:marLeft w:val="0"/>
          <w:marRight w:val="0"/>
          <w:marTop w:val="0"/>
          <w:marBottom w:val="0"/>
          <w:divBdr>
            <w:top w:val="none" w:sz="0" w:space="0" w:color="auto"/>
            <w:left w:val="none" w:sz="0" w:space="0" w:color="auto"/>
            <w:bottom w:val="none" w:sz="0" w:space="0" w:color="auto"/>
            <w:right w:val="none" w:sz="0" w:space="0" w:color="auto"/>
          </w:divBdr>
          <w:divsChild>
            <w:div w:id="2058626863">
              <w:marLeft w:val="0"/>
              <w:marRight w:val="0"/>
              <w:marTop w:val="0"/>
              <w:marBottom w:val="0"/>
              <w:divBdr>
                <w:top w:val="none" w:sz="0" w:space="0" w:color="auto"/>
                <w:left w:val="none" w:sz="0" w:space="0" w:color="auto"/>
                <w:bottom w:val="none" w:sz="0" w:space="0" w:color="auto"/>
                <w:right w:val="none" w:sz="0" w:space="0" w:color="auto"/>
              </w:divBdr>
              <w:divsChild>
                <w:div w:id="944191992">
                  <w:marLeft w:val="0"/>
                  <w:marRight w:val="0"/>
                  <w:marTop w:val="0"/>
                  <w:marBottom w:val="0"/>
                  <w:divBdr>
                    <w:top w:val="none" w:sz="0" w:space="0" w:color="auto"/>
                    <w:left w:val="none" w:sz="0" w:space="0" w:color="auto"/>
                    <w:bottom w:val="none" w:sz="0" w:space="0" w:color="auto"/>
                    <w:right w:val="none" w:sz="0" w:space="0" w:color="auto"/>
                  </w:divBdr>
                  <w:divsChild>
                    <w:div w:id="953556144">
                      <w:marLeft w:val="0"/>
                      <w:marRight w:val="0"/>
                      <w:marTop w:val="0"/>
                      <w:marBottom w:val="0"/>
                      <w:divBdr>
                        <w:top w:val="none" w:sz="0" w:space="0" w:color="auto"/>
                        <w:left w:val="none" w:sz="0" w:space="0" w:color="auto"/>
                        <w:bottom w:val="none" w:sz="0" w:space="0" w:color="auto"/>
                        <w:right w:val="none" w:sz="0" w:space="0" w:color="auto"/>
                      </w:divBdr>
                    </w:div>
                    <w:div w:id="658848834">
                      <w:marLeft w:val="0"/>
                      <w:marRight w:val="0"/>
                      <w:marTop w:val="0"/>
                      <w:marBottom w:val="0"/>
                      <w:divBdr>
                        <w:top w:val="none" w:sz="0" w:space="0" w:color="auto"/>
                        <w:left w:val="none" w:sz="0" w:space="0" w:color="auto"/>
                        <w:bottom w:val="none" w:sz="0" w:space="0" w:color="auto"/>
                        <w:right w:val="none" w:sz="0" w:space="0" w:color="auto"/>
                      </w:divBdr>
                    </w:div>
                    <w:div w:id="1381057275">
                      <w:marLeft w:val="0"/>
                      <w:marRight w:val="0"/>
                      <w:marTop w:val="0"/>
                      <w:marBottom w:val="0"/>
                      <w:divBdr>
                        <w:top w:val="none" w:sz="0" w:space="0" w:color="auto"/>
                        <w:left w:val="none" w:sz="0" w:space="0" w:color="auto"/>
                        <w:bottom w:val="none" w:sz="0" w:space="0" w:color="auto"/>
                        <w:right w:val="none" w:sz="0" w:space="0" w:color="auto"/>
                      </w:divBdr>
                    </w:div>
                    <w:div w:id="10187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5097">
          <w:marLeft w:val="0"/>
          <w:marRight w:val="0"/>
          <w:marTop w:val="0"/>
          <w:marBottom w:val="0"/>
          <w:divBdr>
            <w:top w:val="none" w:sz="0" w:space="0" w:color="auto"/>
            <w:left w:val="none" w:sz="0" w:space="0" w:color="auto"/>
            <w:bottom w:val="none" w:sz="0" w:space="0" w:color="auto"/>
            <w:right w:val="none" w:sz="0" w:space="0" w:color="auto"/>
          </w:divBdr>
          <w:divsChild>
            <w:div w:id="1303343218">
              <w:marLeft w:val="0"/>
              <w:marRight w:val="0"/>
              <w:marTop w:val="0"/>
              <w:marBottom w:val="0"/>
              <w:divBdr>
                <w:top w:val="none" w:sz="0" w:space="0" w:color="auto"/>
                <w:left w:val="none" w:sz="0" w:space="0" w:color="auto"/>
                <w:bottom w:val="none" w:sz="0" w:space="0" w:color="auto"/>
                <w:right w:val="none" w:sz="0" w:space="0" w:color="auto"/>
              </w:divBdr>
              <w:divsChild>
                <w:div w:id="1002244314">
                  <w:marLeft w:val="0"/>
                  <w:marRight w:val="0"/>
                  <w:marTop w:val="0"/>
                  <w:marBottom w:val="0"/>
                  <w:divBdr>
                    <w:top w:val="none" w:sz="0" w:space="0" w:color="auto"/>
                    <w:left w:val="none" w:sz="0" w:space="0" w:color="auto"/>
                    <w:bottom w:val="none" w:sz="0" w:space="0" w:color="auto"/>
                    <w:right w:val="none" w:sz="0" w:space="0" w:color="auto"/>
                  </w:divBdr>
                  <w:divsChild>
                    <w:div w:id="17706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41917">
              <w:marLeft w:val="0"/>
              <w:marRight w:val="0"/>
              <w:marTop w:val="0"/>
              <w:marBottom w:val="0"/>
              <w:divBdr>
                <w:top w:val="none" w:sz="0" w:space="0" w:color="auto"/>
                <w:left w:val="none" w:sz="0" w:space="0" w:color="auto"/>
                <w:bottom w:val="none" w:sz="0" w:space="0" w:color="auto"/>
                <w:right w:val="none" w:sz="0" w:space="0" w:color="auto"/>
              </w:divBdr>
              <w:divsChild>
                <w:div w:id="1455440951">
                  <w:marLeft w:val="0"/>
                  <w:marRight w:val="0"/>
                  <w:marTop w:val="0"/>
                  <w:marBottom w:val="0"/>
                  <w:divBdr>
                    <w:top w:val="none" w:sz="0" w:space="0" w:color="auto"/>
                    <w:left w:val="none" w:sz="0" w:space="0" w:color="auto"/>
                    <w:bottom w:val="none" w:sz="0" w:space="0" w:color="auto"/>
                    <w:right w:val="none" w:sz="0" w:space="0" w:color="auto"/>
                  </w:divBdr>
                  <w:divsChild>
                    <w:div w:id="1920937953">
                      <w:marLeft w:val="0"/>
                      <w:marRight w:val="0"/>
                      <w:marTop w:val="0"/>
                      <w:marBottom w:val="0"/>
                      <w:divBdr>
                        <w:top w:val="none" w:sz="0" w:space="0" w:color="auto"/>
                        <w:left w:val="none" w:sz="0" w:space="0" w:color="auto"/>
                        <w:bottom w:val="none" w:sz="0" w:space="0" w:color="auto"/>
                        <w:right w:val="none" w:sz="0" w:space="0" w:color="auto"/>
                      </w:divBdr>
                    </w:div>
                  </w:divsChild>
                </w:div>
                <w:div w:id="2327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8152">
          <w:marLeft w:val="0"/>
          <w:marRight w:val="0"/>
          <w:marTop w:val="0"/>
          <w:marBottom w:val="0"/>
          <w:divBdr>
            <w:top w:val="none" w:sz="0" w:space="0" w:color="auto"/>
            <w:left w:val="none" w:sz="0" w:space="0" w:color="auto"/>
            <w:bottom w:val="none" w:sz="0" w:space="0" w:color="auto"/>
            <w:right w:val="none" w:sz="0" w:space="0" w:color="auto"/>
          </w:divBdr>
          <w:divsChild>
            <w:div w:id="41949375">
              <w:marLeft w:val="0"/>
              <w:marRight w:val="0"/>
              <w:marTop w:val="0"/>
              <w:marBottom w:val="0"/>
              <w:divBdr>
                <w:top w:val="none" w:sz="0" w:space="0" w:color="auto"/>
                <w:left w:val="none" w:sz="0" w:space="0" w:color="auto"/>
                <w:bottom w:val="none" w:sz="0" w:space="0" w:color="auto"/>
                <w:right w:val="none" w:sz="0" w:space="0" w:color="auto"/>
              </w:divBdr>
            </w:div>
            <w:div w:id="537280105">
              <w:marLeft w:val="0"/>
              <w:marRight w:val="0"/>
              <w:marTop w:val="0"/>
              <w:marBottom w:val="0"/>
              <w:divBdr>
                <w:top w:val="none" w:sz="0" w:space="0" w:color="auto"/>
                <w:left w:val="none" w:sz="0" w:space="0" w:color="auto"/>
                <w:bottom w:val="none" w:sz="0" w:space="0" w:color="auto"/>
                <w:right w:val="none" w:sz="0" w:space="0" w:color="auto"/>
              </w:divBdr>
              <w:divsChild>
                <w:div w:id="1450662214">
                  <w:marLeft w:val="0"/>
                  <w:marRight w:val="0"/>
                  <w:marTop w:val="0"/>
                  <w:marBottom w:val="0"/>
                  <w:divBdr>
                    <w:top w:val="none" w:sz="0" w:space="0" w:color="auto"/>
                    <w:left w:val="none" w:sz="0" w:space="0" w:color="auto"/>
                    <w:bottom w:val="none" w:sz="0" w:space="0" w:color="auto"/>
                    <w:right w:val="none" w:sz="0" w:space="0" w:color="auto"/>
                  </w:divBdr>
                </w:div>
                <w:div w:id="16732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5433">
          <w:marLeft w:val="0"/>
          <w:marRight w:val="0"/>
          <w:marTop w:val="0"/>
          <w:marBottom w:val="0"/>
          <w:divBdr>
            <w:top w:val="none" w:sz="0" w:space="0" w:color="auto"/>
            <w:left w:val="none" w:sz="0" w:space="0" w:color="auto"/>
            <w:bottom w:val="none" w:sz="0" w:space="0" w:color="auto"/>
            <w:right w:val="none" w:sz="0" w:space="0" w:color="auto"/>
          </w:divBdr>
          <w:divsChild>
            <w:div w:id="207761760">
              <w:marLeft w:val="0"/>
              <w:marRight w:val="0"/>
              <w:marTop w:val="0"/>
              <w:marBottom w:val="0"/>
              <w:divBdr>
                <w:top w:val="none" w:sz="0" w:space="0" w:color="auto"/>
                <w:left w:val="none" w:sz="0" w:space="0" w:color="auto"/>
                <w:bottom w:val="none" w:sz="0" w:space="0" w:color="auto"/>
                <w:right w:val="none" w:sz="0" w:space="0" w:color="auto"/>
              </w:divBdr>
              <w:divsChild>
                <w:div w:id="145054727">
                  <w:marLeft w:val="0"/>
                  <w:marRight w:val="0"/>
                  <w:marTop w:val="0"/>
                  <w:marBottom w:val="0"/>
                  <w:divBdr>
                    <w:top w:val="none" w:sz="0" w:space="0" w:color="auto"/>
                    <w:left w:val="none" w:sz="0" w:space="0" w:color="auto"/>
                    <w:bottom w:val="none" w:sz="0" w:space="0" w:color="auto"/>
                    <w:right w:val="none" w:sz="0" w:space="0" w:color="auto"/>
                  </w:divBdr>
                  <w:divsChild>
                    <w:div w:id="132407271">
                      <w:marLeft w:val="0"/>
                      <w:marRight w:val="0"/>
                      <w:marTop w:val="0"/>
                      <w:marBottom w:val="0"/>
                      <w:divBdr>
                        <w:top w:val="none" w:sz="0" w:space="0" w:color="auto"/>
                        <w:left w:val="none" w:sz="0" w:space="0" w:color="auto"/>
                        <w:bottom w:val="none" w:sz="0" w:space="0" w:color="auto"/>
                        <w:right w:val="none" w:sz="0" w:space="0" w:color="auto"/>
                      </w:divBdr>
                    </w:div>
                    <w:div w:id="12017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0237">
      <w:bodyDiv w:val="1"/>
      <w:marLeft w:val="0"/>
      <w:marRight w:val="0"/>
      <w:marTop w:val="0"/>
      <w:marBottom w:val="0"/>
      <w:divBdr>
        <w:top w:val="none" w:sz="0" w:space="0" w:color="auto"/>
        <w:left w:val="none" w:sz="0" w:space="0" w:color="auto"/>
        <w:bottom w:val="none" w:sz="0" w:space="0" w:color="auto"/>
        <w:right w:val="none" w:sz="0" w:space="0" w:color="auto"/>
      </w:divBdr>
      <w:divsChild>
        <w:div w:id="56393248">
          <w:marLeft w:val="0"/>
          <w:marRight w:val="0"/>
          <w:marTop w:val="0"/>
          <w:marBottom w:val="0"/>
          <w:divBdr>
            <w:top w:val="none" w:sz="0" w:space="0" w:color="auto"/>
            <w:left w:val="none" w:sz="0" w:space="0" w:color="auto"/>
            <w:bottom w:val="none" w:sz="0" w:space="0" w:color="auto"/>
            <w:right w:val="none" w:sz="0" w:space="0" w:color="auto"/>
          </w:divBdr>
          <w:divsChild>
            <w:div w:id="590966835">
              <w:marLeft w:val="0"/>
              <w:marRight w:val="0"/>
              <w:marTop w:val="0"/>
              <w:marBottom w:val="0"/>
              <w:divBdr>
                <w:top w:val="none" w:sz="0" w:space="0" w:color="auto"/>
                <w:left w:val="none" w:sz="0" w:space="0" w:color="auto"/>
                <w:bottom w:val="none" w:sz="0" w:space="0" w:color="auto"/>
                <w:right w:val="none" w:sz="0" w:space="0" w:color="auto"/>
              </w:divBdr>
              <w:divsChild>
                <w:div w:id="1476071566">
                  <w:marLeft w:val="0"/>
                  <w:marRight w:val="0"/>
                  <w:marTop w:val="0"/>
                  <w:marBottom w:val="0"/>
                  <w:divBdr>
                    <w:top w:val="none" w:sz="0" w:space="0" w:color="auto"/>
                    <w:left w:val="none" w:sz="0" w:space="0" w:color="auto"/>
                    <w:bottom w:val="none" w:sz="0" w:space="0" w:color="auto"/>
                    <w:right w:val="none" w:sz="0" w:space="0" w:color="auto"/>
                  </w:divBdr>
                  <w:divsChild>
                    <w:div w:id="1764645922">
                      <w:marLeft w:val="0"/>
                      <w:marRight w:val="0"/>
                      <w:marTop w:val="0"/>
                      <w:marBottom w:val="0"/>
                      <w:divBdr>
                        <w:top w:val="none" w:sz="0" w:space="0" w:color="auto"/>
                        <w:left w:val="none" w:sz="0" w:space="0" w:color="auto"/>
                        <w:bottom w:val="none" w:sz="0" w:space="0" w:color="auto"/>
                        <w:right w:val="none" w:sz="0" w:space="0" w:color="auto"/>
                      </w:divBdr>
                    </w:div>
                    <w:div w:id="652219405">
                      <w:marLeft w:val="0"/>
                      <w:marRight w:val="0"/>
                      <w:marTop w:val="0"/>
                      <w:marBottom w:val="0"/>
                      <w:divBdr>
                        <w:top w:val="none" w:sz="0" w:space="0" w:color="auto"/>
                        <w:left w:val="none" w:sz="0" w:space="0" w:color="auto"/>
                        <w:bottom w:val="none" w:sz="0" w:space="0" w:color="auto"/>
                        <w:right w:val="none" w:sz="0" w:space="0" w:color="auto"/>
                      </w:divBdr>
                    </w:div>
                    <w:div w:id="1456171646">
                      <w:marLeft w:val="0"/>
                      <w:marRight w:val="0"/>
                      <w:marTop w:val="0"/>
                      <w:marBottom w:val="0"/>
                      <w:divBdr>
                        <w:top w:val="none" w:sz="0" w:space="0" w:color="auto"/>
                        <w:left w:val="none" w:sz="0" w:space="0" w:color="auto"/>
                        <w:bottom w:val="none" w:sz="0" w:space="0" w:color="auto"/>
                        <w:right w:val="none" w:sz="0" w:space="0" w:color="auto"/>
                      </w:divBdr>
                    </w:div>
                    <w:div w:id="1495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4953">
          <w:marLeft w:val="0"/>
          <w:marRight w:val="0"/>
          <w:marTop w:val="0"/>
          <w:marBottom w:val="0"/>
          <w:divBdr>
            <w:top w:val="none" w:sz="0" w:space="0" w:color="auto"/>
            <w:left w:val="none" w:sz="0" w:space="0" w:color="auto"/>
            <w:bottom w:val="none" w:sz="0" w:space="0" w:color="auto"/>
            <w:right w:val="none" w:sz="0" w:space="0" w:color="auto"/>
          </w:divBdr>
          <w:divsChild>
            <w:div w:id="985013800">
              <w:marLeft w:val="0"/>
              <w:marRight w:val="0"/>
              <w:marTop w:val="0"/>
              <w:marBottom w:val="0"/>
              <w:divBdr>
                <w:top w:val="none" w:sz="0" w:space="0" w:color="auto"/>
                <w:left w:val="none" w:sz="0" w:space="0" w:color="auto"/>
                <w:bottom w:val="none" w:sz="0" w:space="0" w:color="auto"/>
                <w:right w:val="none" w:sz="0" w:space="0" w:color="auto"/>
              </w:divBdr>
              <w:divsChild>
                <w:div w:id="352265263">
                  <w:marLeft w:val="0"/>
                  <w:marRight w:val="0"/>
                  <w:marTop w:val="0"/>
                  <w:marBottom w:val="0"/>
                  <w:divBdr>
                    <w:top w:val="none" w:sz="0" w:space="0" w:color="auto"/>
                    <w:left w:val="none" w:sz="0" w:space="0" w:color="auto"/>
                    <w:bottom w:val="none" w:sz="0" w:space="0" w:color="auto"/>
                    <w:right w:val="none" w:sz="0" w:space="0" w:color="auto"/>
                  </w:divBdr>
                  <w:divsChild>
                    <w:div w:id="1266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4126">
              <w:marLeft w:val="0"/>
              <w:marRight w:val="0"/>
              <w:marTop w:val="0"/>
              <w:marBottom w:val="0"/>
              <w:divBdr>
                <w:top w:val="none" w:sz="0" w:space="0" w:color="auto"/>
                <w:left w:val="none" w:sz="0" w:space="0" w:color="auto"/>
                <w:bottom w:val="none" w:sz="0" w:space="0" w:color="auto"/>
                <w:right w:val="none" w:sz="0" w:space="0" w:color="auto"/>
              </w:divBdr>
              <w:divsChild>
                <w:div w:id="766661334">
                  <w:marLeft w:val="0"/>
                  <w:marRight w:val="0"/>
                  <w:marTop w:val="0"/>
                  <w:marBottom w:val="0"/>
                  <w:divBdr>
                    <w:top w:val="none" w:sz="0" w:space="0" w:color="auto"/>
                    <w:left w:val="none" w:sz="0" w:space="0" w:color="auto"/>
                    <w:bottom w:val="none" w:sz="0" w:space="0" w:color="auto"/>
                    <w:right w:val="none" w:sz="0" w:space="0" w:color="auto"/>
                  </w:divBdr>
                  <w:divsChild>
                    <w:div w:id="142158378">
                      <w:marLeft w:val="0"/>
                      <w:marRight w:val="0"/>
                      <w:marTop w:val="0"/>
                      <w:marBottom w:val="0"/>
                      <w:divBdr>
                        <w:top w:val="none" w:sz="0" w:space="0" w:color="auto"/>
                        <w:left w:val="none" w:sz="0" w:space="0" w:color="auto"/>
                        <w:bottom w:val="none" w:sz="0" w:space="0" w:color="auto"/>
                        <w:right w:val="none" w:sz="0" w:space="0" w:color="auto"/>
                      </w:divBdr>
                    </w:div>
                  </w:divsChild>
                </w:div>
                <w:div w:id="3659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940">
          <w:marLeft w:val="0"/>
          <w:marRight w:val="0"/>
          <w:marTop w:val="0"/>
          <w:marBottom w:val="0"/>
          <w:divBdr>
            <w:top w:val="none" w:sz="0" w:space="0" w:color="auto"/>
            <w:left w:val="none" w:sz="0" w:space="0" w:color="auto"/>
            <w:bottom w:val="none" w:sz="0" w:space="0" w:color="auto"/>
            <w:right w:val="none" w:sz="0" w:space="0" w:color="auto"/>
          </w:divBdr>
          <w:divsChild>
            <w:div w:id="1606769777">
              <w:marLeft w:val="0"/>
              <w:marRight w:val="0"/>
              <w:marTop w:val="0"/>
              <w:marBottom w:val="0"/>
              <w:divBdr>
                <w:top w:val="none" w:sz="0" w:space="0" w:color="auto"/>
                <w:left w:val="none" w:sz="0" w:space="0" w:color="auto"/>
                <w:bottom w:val="none" w:sz="0" w:space="0" w:color="auto"/>
                <w:right w:val="none" w:sz="0" w:space="0" w:color="auto"/>
              </w:divBdr>
            </w:div>
            <w:div w:id="1722166633">
              <w:marLeft w:val="0"/>
              <w:marRight w:val="0"/>
              <w:marTop w:val="0"/>
              <w:marBottom w:val="0"/>
              <w:divBdr>
                <w:top w:val="none" w:sz="0" w:space="0" w:color="auto"/>
                <w:left w:val="none" w:sz="0" w:space="0" w:color="auto"/>
                <w:bottom w:val="none" w:sz="0" w:space="0" w:color="auto"/>
                <w:right w:val="none" w:sz="0" w:space="0" w:color="auto"/>
              </w:divBdr>
              <w:divsChild>
                <w:div w:id="2109887359">
                  <w:marLeft w:val="0"/>
                  <w:marRight w:val="0"/>
                  <w:marTop w:val="0"/>
                  <w:marBottom w:val="0"/>
                  <w:divBdr>
                    <w:top w:val="none" w:sz="0" w:space="0" w:color="auto"/>
                    <w:left w:val="none" w:sz="0" w:space="0" w:color="auto"/>
                    <w:bottom w:val="none" w:sz="0" w:space="0" w:color="auto"/>
                    <w:right w:val="none" w:sz="0" w:space="0" w:color="auto"/>
                  </w:divBdr>
                </w:div>
                <w:div w:id="15142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0817">
          <w:marLeft w:val="0"/>
          <w:marRight w:val="0"/>
          <w:marTop w:val="0"/>
          <w:marBottom w:val="0"/>
          <w:divBdr>
            <w:top w:val="none" w:sz="0" w:space="0" w:color="auto"/>
            <w:left w:val="none" w:sz="0" w:space="0" w:color="auto"/>
            <w:bottom w:val="none" w:sz="0" w:space="0" w:color="auto"/>
            <w:right w:val="none" w:sz="0" w:space="0" w:color="auto"/>
          </w:divBdr>
          <w:divsChild>
            <w:div w:id="835461185">
              <w:marLeft w:val="0"/>
              <w:marRight w:val="0"/>
              <w:marTop w:val="0"/>
              <w:marBottom w:val="0"/>
              <w:divBdr>
                <w:top w:val="none" w:sz="0" w:space="0" w:color="auto"/>
                <w:left w:val="none" w:sz="0" w:space="0" w:color="auto"/>
                <w:bottom w:val="none" w:sz="0" w:space="0" w:color="auto"/>
                <w:right w:val="none" w:sz="0" w:space="0" w:color="auto"/>
              </w:divBdr>
              <w:divsChild>
                <w:div w:id="644893456">
                  <w:marLeft w:val="0"/>
                  <w:marRight w:val="0"/>
                  <w:marTop w:val="0"/>
                  <w:marBottom w:val="0"/>
                  <w:divBdr>
                    <w:top w:val="none" w:sz="0" w:space="0" w:color="auto"/>
                    <w:left w:val="none" w:sz="0" w:space="0" w:color="auto"/>
                    <w:bottom w:val="none" w:sz="0" w:space="0" w:color="auto"/>
                    <w:right w:val="none" w:sz="0" w:space="0" w:color="auto"/>
                  </w:divBdr>
                  <w:divsChild>
                    <w:div w:id="723531648">
                      <w:marLeft w:val="0"/>
                      <w:marRight w:val="0"/>
                      <w:marTop w:val="0"/>
                      <w:marBottom w:val="0"/>
                      <w:divBdr>
                        <w:top w:val="none" w:sz="0" w:space="0" w:color="auto"/>
                        <w:left w:val="none" w:sz="0" w:space="0" w:color="auto"/>
                        <w:bottom w:val="none" w:sz="0" w:space="0" w:color="auto"/>
                        <w:right w:val="none" w:sz="0" w:space="0" w:color="auto"/>
                      </w:divBdr>
                    </w:div>
                    <w:div w:id="13102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06827">
      <w:bodyDiv w:val="1"/>
      <w:marLeft w:val="0"/>
      <w:marRight w:val="0"/>
      <w:marTop w:val="0"/>
      <w:marBottom w:val="0"/>
      <w:divBdr>
        <w:top w:val="none" w:sz="0" w:space="0" w:color="auto"/>
        <w:left w:val="none" w:sz="0" w:space="0" w:color="auto"/>
        <w:bottom w:val="none" w:sz="0" w:space="0" w:color="auto"/>
        <w:right w:val="none" w:sz="0" w:space="0" w:color="auto"/>
      </w:divBdr>
      <w:divsChild>
        <w:div w:id="1077019647">
          <w:marLeft w:val="0"/>
          <w:marRight w:val="0"/>
          <w:marTop w:val="0"/>
          <w:marBottom w:val="0"/>
          <w:divBdr>
            <w:top w:val="none" w:sz="0" w:space="0" w:color="auto"/>
            <w:left w:val="none" w:sz="0" w:space="0" w:color="auto"/>
            <w:bottom w:val="none" w:sz="0" w:space="0" w:color="auto"/>
            <w:right w:val="none" w:sz="0" w:space="0" w:color="auto"/>
          </w:divBdr>
          <w:divsChild>
            <w:div w:id="1217550324">
              <w:marLeft w:val="0"/>
              <w:marRight w:val="0"/>
              <w:marTop w:val="0"/>
              <w:marBottom w:val="0"/>
              <w:divBdr>
                <w:top w:val="none" w:sz="0" w:space="0" w:color="auto"/>
                <w:left w:val="none" w:sz="0" w:space="0" w:color="auto"/>
                <w:bottom w:val="none" w:sz="0" w:space="0" w:color="auto"/>
                <w:right w:val="none" w:sz="0" w:space="0" w:color="auto"/>
              </w:divBdr>
              <w:divsChild>
                <w:div w:id="919144137">
                  <w:marLeft w:val="0"/>
                  <w:marRight w:val="0"/>
                  <w:marTop w:val="0"/>
                  <w:marBottom w:val="0"/>
                  <w:divBdr>
                    <w:top w:val="none" w:sz="0" w:space="0" w:color="auto"/>
                    <w:left w:val="none" w:sz="0" w:space="0" w:color="auto"/>
                    <w:bottom w:val="none" w:sz="0" w:space="0" w:color="auto"/>
                    <w:right w:val="none" w:sz="0" w:space="0" w:color="auto"/>
                  </w:divBdr>
                  <w:divsChild>
                    <w:div w:id="445589072">
                      <w:marLeft w:val="0"/>
                      <w:marRight w:val="0"/>
                      <w:marTop w:val="0"/>
                      <w:marBottom w:val="0"/>
                      <w:divBdr>
                        <w:top w:val="none" w:sz="0" w:space="0" w:color="auto"/>
                        <w:left w:val="none" w:sz="0" w:space="0" w:color="auto"/>
                        <w:bottom w:val="none" w:sz="0" w:space="0" w:color="auto"/>
                        <w:right w:val="none" w:sz="0" w:space="0" w:color="auto"/>
                      </w:divBdr>
                    </w:div>
                    <w:div w:id="1428112502">
                      <w:marLeft w:val="0"/>
                      <w:marRight w:val="0"/>
                      <w:marTop w:val="0"/>
                      <w:marBottom w:val="0"/>
                      <w:divBdr>
                        <w:top w:val="none" w:sz="0" w:space="0" w:color="auto"/>
                        <w:left w:val="none" w:sz="0" w:space="0" w:color="auto"/>
                        <w:bottom w:val="none" w:sz="0" w:space="0" w:color="auto"/>
                        <w:right w:val="none" w:sz="0" w:space="0" w:color="auto"/>
                      </w:divBdr>
                    </w:div>
                    <w:div w:id="1862275250">
                      <w:marLeft w:val="0"/>
                      <w:marRight w:val="0"/>
                      <w:marTop w:val="0"/>
                      <w:marBottom w:val="0"/>
                      <w:divBdr>
                        <w:top w:val="none" w:sz="0" w:space="0" w:color="auto"/>
                        <w:left w:val="none" w:sz="0" w:space="0" w:color="auto"/>
                        <w:bottom w:val="none" w:sz="0" w:space="0" w:color="auto"/>
                        <w:right w:val="none" w:sz="0" w:space="0" w:color="auto"/>
                      </w:divBdr>
                    </w:div>
                    <w:div w:id="3208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12527">
          <w:marLeft w:val="0"/>
          <w:marRight w:val="0"/>
          <w:marTop w:val="0"/>
          <w:marBottom w:val="0"/>
          <w:divBdr>
            <w:top w:val="none" w:sz="0" w:space="0" w:color="auto"/>
            <w:left w:val="none" w:sz="0" w:space="0" w:color="auto"/>
            <w:bottom w:val="none" w:sz="0" w:space="0" w:color="auto"/>
            <w:right w:val="none" w:sz="0" w:space="0" w:color="auto"/>
          </w:divBdr>
          <w:divsChild>
            <w:div w:id="1157645810">
              <w:marLeft w:val="0"/>
              <w:marRight w:val="0"/>
              <w:marTop w:val="0"/>
              <w:marBottom w:val="0"/>
              <w:divBdr>
                <w:top w:val="none" w:sz="0" w:space="0" w:color="auto"/>
                <w:left w:val="none" w:sz="0" w:space="0" w:color="auto"/>
                <w:bottom w:val="none" w:sz="0" w:space="0" w:color="auto"/>
                <w:right w:val="none" w:sz="0" w:space="0" w:color="auto"/>
              </w:divBdr>
              <w:divsChild>
                <w:div w:id="1134104130">
                  <w:marLeft w:val="0"/>
                  <w:marRight w:val="0"/>
                  <w:marTop w:val="0"/>
                  <w:marBottom w:val="0"/>
                  <w:divBdr>
                    <w:top w:val="none" w:sz="0" w:space="0" w:color="auto"/>
                    <w:left w:val="none" w:sz="0" w:space="0" w:color="auto"/>
                    <w:bottom w:val="none" w:sz="0" w:space="0" w:color="auto"/>
                    <w:right w:val="none" w:sz="0" w:space="0" w:color="auto"/>
                  </w:divBdr>
                  <w:divsChild>
                    <w:div w:id="16876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2796">
              <w:marLeft w:val="0"/>
              <w:marRight w:val="0"/>
              <w:marTop w:val="0"/>
              <w:marBottom w:val="0"/>
              <w:divBdr>
                <w:top w:val="none" w:sz="0" w:space="0" w:color="auto"/>
                <w:left w:val="none" w:sz="0" w:space="0" w:color="auto"/>
                <w:bottom w:val="none" w:sz="0" w:space="0" w:color="auto"/>
                <w:right w:val="none" w:sz="0" w:space="0" w:color="auto"/>
              </w:divBdr>
              <w:divsChild>
                <w:div w:id="1596867115">
                  <w:marLeft w:val="0"/>
                  <w:marRight w:val="0"/>
                  <w:marTop w:val="0"/>
                  <w:marBottom w:val="0"/>
                  <w:divBdr>
                    <w:top w:val="none" w:sz="0" w:space="0" w:color="auto"/>
                    <w:left w:val="none" w:sz="0" w:space="0" w:color="auto"/>
                    <w:bottom w:val="none" w:sz="0" w:space="0" w:color="auto"/>
                    <w:right w:val="none" w:sz="0" w:space="0" w:color="auto"/>
                  </w:divBdr>
                  <w:divsChild>
                    <w:div w:id="8417217">
                      <w:marLeft w:val="0"/>
                      <w:marRight w:val="0"/>
                      <w:marTop w:val="0"/>
                      <w:marBottom w:val="0"/>
                      <w:divBdr>
                        <w:top w:val="none" w:sz="0" w:space="0" w:color="auto"/>
                        <w:left w:val="none" w:sz="0" w:space="0" w:color="auto"/>
                        <w:bottom w:val="none" w:sz="0" w:space="0" w:color="auto"/>
                        <w:right w:val="none" w:sz="0" w:space="0" w:color="auto"/>
                      </w:divBdr>
                    </w:div>
                  </w:divsChild>
                </w:div>
                <w:div w:id="1804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7630">
          <w:marLeft w:val="0"/>
          <w:marRight w:val="0"/>
          <w:marTop w:val="0"/>
          <w:marBottom w:val="0"/>
          <w:divBdr>
            <w:top w:val="none" w:sz="0" w:space="0" w:color="auto"/>
            <w:left w:val="none" w:sz="0" w:space="0" w:color="auto"/>
            <w:bottom w:val="none" w:sz="0" w:space="0" w:color="auto"/>
            <w:right w:val="none" w:sz="0" w:space="0" w:color="auto"/>
          </w:divBdr>
          <w:divsChild>
            <w:div w:id="1710298587">
              <w:marLeft w:val="0"/>
              <w:marRight w:val="0"/>
              <w:marTop w:val="0"/>
              <w:marBottom w:val="0"/>
              <w:divBdr>
                <w:top w:val="none" w:sz="0" w:space="0" w:color="auto"/>
                <w:left w:val="none" w:sz="0" w:space="0" w:color="auto"/>
                <w:bottom w:val="none" w:sz="0" w:space="0" w:color="auto"/>
                <w:right w:val="none" w:sz="0" w:space="0" w:color="auto"/>
              </w:divBdr>
            </w:div>
            <w:div w:id="80026557">
              <w:marLeft w:val="0"/>
              <w:marRight w:val="0"/>
              <w:marTop w:val="0"/>
              <w:marBottom w:val="0"/>
              <w:divBdr>
                <w:top w:val="none" w:sz="0" w:space="0" w:color="auto"/>
                <w:left w:val="none" w:sz="0" w:space="0" w:color="auto"/>
                <w:bottom w:val="none" w:sz="0" w:space="0" w:color="auto"/>
                <w:right w:val="none" w:sz="0" w:space="0" w:color="auto"/>
              </w:divBdr>
              <w:divsChild>
                <w:div w:id="284121619">
                  <w:marLeft w:val="0"/>
                  <w:marRight w:val="0"/>
                  <w:marTop w:val="0"/>
                  <w:marBottom w:val="0"/>
                  <w:divBdr>
                    <w:top w:val="none" w:sz="0" w:space="0" w:color="auto"/>
                    <w:left w:val="none" w:sz="0" w:space="0" w:color="auto"/>
                    <w:bottom w:val="none" w:sz="0" w:space="0" w:color="auto"/>
                    <w:right w:val="none" w:sz="0" w:space="0" w:color="auto"/>
                  </w:divBdr>
                </w:div>
                <w:div w:id="10757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3296">
          <w:marLeft w:val="0"/>
          <w:marRight w:val="0"/>
          <w:marTop w:val="0"/>
          <w:marBottom w:val="0"/>
          <w:divBdr>
            <w:top w:val="none" w:sz="0" w:space="0" w:color="auto"/>
            <w:left w:val="none" w:sz="0" w:space="0" w:color="auto"/>
            <w:bottom w:val="none" w:sz="0" w:space="0" w:color="auto"/>
            <w:right w:val="none" w:sz="0" w:space="0" w:color="auto"/>
          </w:divBdr>
          <w:divsChild>
            <w:div w:id="663053060">
              <w:marLeft w:val="0"/>
              <w:marRight w:val="0"/>
              <w:marTop w:val="0"/>
              <w:marBottom w:val="0"/>
              <w:divBdr>
                <w:top w:val="none" w:sz="0" w:space="0" w:color="auto"/>
                <w:left w:val="none" w:sz="0" w:space="0" w:color="auto"/>
                <w:bottom w:val="none" w:sz="0" w:space="0" w:color="auto"/>
                <w:right w:val="none" w:sz="0" w:space="0" w:color="auto"/>
              </w:divBdr>
              <w:divsChild>
                <w:div w:id="633485340">
                  <w:marLeft w:val="0"/>
                  <w:marRight w:val="0"/>
                  <w:marTop w:val="0"/>
                  <w:marBottom w:val="0"/>
                  <w:divBdr>
                    <w:top w:val="none" w:sz="0" w:space="0" w:color="auto"/>
                    <w:left w:val="none" w:sz="0" w:space="0" w:color="auto"/>
                    <w:bottom w:val="none" w:sz="0" w:space="0" w:color="auto"/>
                    <w:right w:val="none" w:sz="0" w:space="0" w:color="auto"/>
                  </w:divBdr>
                  <w:divsChild>
                    <w:div w:id="1297448553">
                      <w:marLeft w:val="0"/>
                      <w:marRight w:val="0"/>
                      <w:marTop w:val="0"/>
                      <w:marBottom w:val="0"/>
                      <w:divBdr>
                        <w:top w:val="none" w:sz="0" w:space="0" w:color="auto"/>
                        <w:left w:val="none" w:sz="0" w:space="0" w:color="auto"/>
                        <w:bottom w:val="none" w:sz="0" w:space="0" w:color="auto"/>
                        <w:right w:val="none" w:sz="0" w:space="0" w:color="auto"/>
                      </w:divBdr>
                    </w:div>
                    <w:div w:id="7502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curia.europa.eu/juris/document/document.jsf?docid=239904&amp;mode=lst&amp;pageIndex=1&amp;dir=&amp;occ=first&amp;part=1&amp;text=&amp;doclang=EN&amp;cid=2478480" TargetMode="External"/><Relationship Id="rId18" Type="http://schemas.openxmlformats.org/officeDocument/2006/relationships/hyperlink" Target="https://curia.europa.eu/juris/document/document.jsf?docid=239904&amp;text=&amp;dir=&amp;doclang=EN&amp;part=1&amp;occ=first&amp;mode=lst&amp;pageIndex=0&amp;actionMethod=document%2Fdocument.xhtml%3AformController.resetAction&amp;cid=2478480"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s://curia.europa.eu/juris/document/document.jsf?text=&amp;docid=239904&amp;pageIndex=0&amp;doclang=EN&amp;mode=lst&amp;dir=&amp;occ=first&amp;part=1&amp;cid=2478480"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uria.europa.eu/juris/document/document.jsf?docid=219353&amp;pageIndex=1&amp;occ=first&amp;part=1&amp;text=&amp;dir=&amp;doclang=EN&amp;mode=lst&amp;cid=2478480"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uria.europa.eu/juris/document/document.jsf?docid=220165&amp;mode=lst&amp;pageIndex=1&amp;dir=&amp;occ=first&amp;part=1&amp;text=&amp;doclang=EN&amp;cid=2478480"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s://curia.europa.eu/juris/documents.jsf?oqp=&amp;for=&amp;mat=or&amp;lgrec=it&amp;jge=&amp;td=%3BALL&amp;jur=C%2CT%2CF&amp;num=C-561%252F19&amp;page=1&amp;dates=&amp;pcs=Oor&amp;lg=&amp;pro=&amp;nat=or&amp;cit=none%252CC%252CCJ%252CR%252C2008E%252C%252C%252C%252C%252C%252C%252C%252C%252C%252Ctrue%252Cfalse%252Cfalse&amp;language=it&amp;avg=&amp;cid=2478480"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curia.europa.eu/juris/document/document.jsf?docid=219353&amp;mode=lst&amp;pageIndex=1&amp;dir=&amp;occ=first&amp;part=1&amp;text=&amp;doclang=EN&amp;cid=2478480" TargetMode="External"/><Relationship Id="rId22" Type="http://schemas.openxmlformats.org/officeDocument/2006/relationships/hyperlink" Target="https://curia.europa.eu/juris/document/document_print.jsf?docid=239904&amp;text=&amp;dir=&amp;doclang=EN&amp;part=1&amp;occ=first&amp;mode=lst&amp;pageIndex=0&amp;cid=247848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29661</Words>
  <Characters>169068</Characters>
  <Application>Microsoft Office Word</Application>
  <DocSecurity>0</DocSecurity>
  <Lines>1408</Lines>
  <Paragraphs>396</Paragraphs>
  <ScaleCrop>false</ScaleCrop>
  <Company/>
  <LinksUpToDate>false</LinksUpToDate>
  <CharactersWithSpaces>198333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2021-05-13T20:10:00Z</dcterms:created>
  <dcterms:modified xsi:type="dcterms:W3CDTF">2021-05-13T20:10:00Z</dcterms:modified>
</cp:coreProperties>
</file>