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638"/>
      </w:tblGrid>
      <w:tr w:rsidR="00EB31DE" w:rsidRPr="00EB31DE" w14:paraId="0BA2964E" w14:textId="77777777" w:rsidTr="00EB31DE">
        <w:tc>
          <w:tcPr>
            <w:tcW w:w="9399" w:type="dxa"/>
            <w:tcBorders>
              <w:top w:val="nil"/>
              <w:left w:val="nil"/>
              <w:bottom w:val="single" w:sz="8" w:space="0" w:color="auto"/>
              <w:right w:val="nil"/>
            </w:tcBorders>
            <w:tcMar>
              <w:top w:w="227" w:type="dxa"/>
              <w:left w:w="0" w:type="dxa"/>
              <w:bottom w:w="227" w:type="dxa"/>
              <w:right w:w="0" w:type="dxa"/>
            </w:tcMar>
            <w:vAlign w:val="center"/>
            <w:hideMark/>
          </w:tcPr>
          <w:p w14:paraId="4BEFEF0E" w14:textId="77777777" w:rsidR="00EB31DE" w:rsidRPr="00EB31DE" w:rsidRDefault="00EB31DE" w:rsidP="00EB31DE">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Arial" w:eastAsia="Times New Roman" w:hAnsi="Arial" w:cs="Arial"/>
                <w:b/>
                <w:bCs/>
                <w:sz w:val="32"/>
                <w:szCs w:val="32"/>
                <w:lang w:val="en-US" w:eastAsia="it-IT"/>
              </w:rPr>
              <w:t>1377</w:t>
            </w:r>
            <w:r w:rsidRPr="00EB31DE">
              <w:rPr>
                <w:rFonts w:ascii="Arial" w:eastAsia="Times New Roman" w:hAnsi="Arial" w:cs="Arial"/>
                <w:b/>
                <w:bCs/>
                <w:sz w:val="32"/>
                <w:szCs w:val="32"/>
                <w:vertAlign w:val="superscript"/>
                <w:lang w:val="en-US" w:eastAsia="it-IT"/>
              </w:rPr>
              <w:t>th</w:t>
            </w:r>
            <w:r w:rsidRPr="00EB31DE">
              <w:rPr>
                <w:rFonts w:ascii="Arial" w:eastAsia="Times New Roman" w:hAnsi="Arial" w:cs="Arial"/>
                <w:b/>
                <w:bCs/>
                <w:sz w:val="32"/>
                <w:szCs w:val="32"/>
                <w:lang w:val="en-US" w:eastAsia="it-IT"/>
              </w:rPr>
              <w:t xml:space="preserve"> meeting, 4 June 2020 (DH)</w:t>
            </w:r>
          </w:p>
          <w:p w14:paraId="4EB2BB36"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Arial" w:eastAsia="Times New Roman" w:hAnsi="Arial" w:cs="Arial"/>
                <w:i/>
                <w:iCs/>
                <w:sz w:val="24"/>
                <w:szCs w:val="24"/>
                <w:lang w:val="en-US" w:eastAsia="it-IT"/>
              </w:rPr>
              <w:t> </w:t>
            </w:r>
          </w:p>
          <w:p w14:paraId="39C4D944"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Arial" w:eastAsia="Times New Roman" w:hAnsi="Arial" w:cs="Arial"/>
                <w:b/>
                <w:bCs/>
                <w:sz w:val="28"/>
                <w:szCs w:val="28"/>
                <w:lang w:val="en-US" w:eastAsia="it-IT"/>
              </w:rPr>
              <w:t>H46-18 Nasr and Ghali v. Italy (Application No. 44883/09)</w:t>
            </w:r>
          </w:p>
          <w:p w14:paraId="4FCFC697"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Arial" w:eastAsia="Times New Roman" w:hAnsi="Arial" w:cs="Arial"/>
                <w:lang w:val="en-US" w:eastAsia="it-IT"/>
              </w:rPr>
              <w:t>Supervision of the execution of the European Court’s judgments</w:t>
            </w:r>
          </w:p>
          <w:p w14:paraId="7102743B"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Arial" w:eastAsia="Times New Roman" w:hAnsi="Arial" w:cs="Arial"/>
                <w:sz w:val="24"/>
                <w:szCs w:val="24"/>
                <w:lang w:val="en-US" w:eastAsia="it-IT"/>
              </w:rPr>
              <w:t> </w:t>
            </w:r>
          </w:p>
          <w:p w14:paraId="0631F26C"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eastAsia="it-IT"/>
              </w:rPr>
            </w:pPr>
            <w:r w:rsidRPr="00EB31DE">
              <w:rPr>
                <w:rFonts w:ascii="Arial" w:eastAsia="Times New Roman" w:hAnsi="Arial" w:cs="Arial"/>
                <w:sz w:val="18"/>
                <w:szCs w:val="18"/>
                <w:lang w:eastAsia="it-IT"/>
              </w:rPr>
              <w:t>Reference document</w:t>
            </w:r>
          </w:p>
          <w:p w14:paraId="452DDDCB"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eastAsia="it-IT"/>
              </w:rPr>
            </w:pPr>
            <w:hyperlink r:id="rId4" w:history="1">
              <w:r w:rsidRPr="00EB31DE">
                <w:rPr>
                  <w:rFonts w:ascii="Arial" w:eastAsia="Times New Roman" w:hAnsi="Arial" w:cs="Arial"/>
                  <w:color w:val="0000FF"/>
                  <w:sz w:val="18"/>
                  <w:szCs w:val="18"/>
                  <w:u w:val="single"/>
                  <w:lang w:eastAsia="it-IT"/>
                </w:rPr>
                <w:t>CM/Notes/1377/H46-18</w:t>
              </w:r>
            </w:hyperlink>
          </w:p>
        </w:tc>
      </w:tr>
    </w:tbl>
    <w:p w14:paraId="776CF4D7"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eastAsia="it-IT"/>
        </w:rPr>
      </w:pPr>
      <w:r w:rsidRPr="00EB31DE">
        <w:rPr>
          <w:rFonts w:ascii="Times New Roman" w:eastAsia="Times New Roman" w:hAnsi="Times New Roman" w:cs="Times New Roman"/>
          <w:sz w:val="24"/>
          <w:szCs w:val="24"/>
          <w:lang w:eastAsia="it-IT"/>
        </w:rPr>
        <w:t> </w:t>
      </w:r>
    </w:p>
    <w:p w14:paraId="29F9D963"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eastAsia="it-IT"/>
        </w:rPr>
      </w:pPr>
      <w:r w:rsidRPr="00EB31DE">
        <w:rPr>
          <w:rFonts w:ascii="Times New Roman" w:eastAsia="Times New Roman" w:hAnsi="Times New Roman" w:cs="Times New Roman"/>
          <w:i/>
          <w:iCs/>
          <w:sz w:val="24"/>
          <w:szCs w:val="24"/>
          <w:lang w:eastAsia="it-IT"/>
        </w:rPr>
        <w:t>Decisions</w:t>
      </w:r>
    </w:p>
    <w:p w14:paraId="71157969"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eastAsia="it-IT"/>
        </w:rPr>
      </w:pPr>
      <w:r w:rsidRPr="00EB31DE">
        <w:rPr>
          <w:rFonts w:ascii="Times New Roman" w:eastAsia="Times New Roman" w:hAnsi="Times New Roman" w:cs="Times New Roman"/>
          <w:sz w:val="24"/>
          <w:szCs w:val="24"/>
          <w:lang w:eastAsia="it-IT"/>
        </w:rPr>
        <w:t>The Deputies</w:t>
      </w:r>
    </w:p>
    <w:p w14:paraId="5FDFB82A"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Times New Roman" w:eastAsia="Times New Roman" w:hAnsi="Times New Roman" w:cs="Times New Roman"/>
          <w:sz w:val="24"/>
          <w:szCs w:val="24"/>
          <w:lang w:val="en-US" w:eastAsia="it-IT"/>
        </w:rPr>
        <w:t>1.         noting that in the present judgment the European Court found serious violations by Italy in the context of an “extraordinary rendition” operation in which the first applicant was abducted on Italian territory, handed over to CIA agents and brought illegally to Egypt where he was secretly detained and subjected to violent interrogations, while the second applicant was left for months without information about her husband’s fate;</w:t>
      </w:r>
    </w:p>
    <w:p w14:paraId="24A90963"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Times New Roman" w:eastAsia="Times New Roman" w:hAnsi="Times New Roman" w:cs="Times New Roman"/>
          <w:sz w:val="24"/>
          <w:szCs w:val="24"/>
          <w:lang w:val="en-US" w:eastAsia="it-IT"/>
        </w:rPr>
        <w:t>2.         noting also that while the investigation conducted by the Italian investigative and judicial authorities led to the conviction of 26 United States nationals and six Italian citizens, the lack of adequate measures by the government to enforce the prison sentences imposed on the former, and the quashing of the convictions of the latter on grounds of state secrecy, ultimately led to their impunity; </w:t>
      </w:r>
    </w:p>
    <w:p w14:paraId="03D9E48C"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Times New Roman" w:eastAsia="Times New Roman" w:hAnsi="Times New Roman" w:cs="Times New Roman"/>
          <w:i/>
          <w:iCs/>
          <w:sz w:val="24"/>
          <w:szCs w:val="24"/>
          <w:lang w:val="en-US" w:eastAsia="it-IT"/>
        </w:rPr>
        <w:t>As regards individual measures</w:t>
      </w:r>
    </w:p>
    <w:p w14:paraId="59219092"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Times New Roman" w:eastAsia="Times New Roman" w:hAnsi="Times New Roman" w:cs="Times New Roman"/>
          <w:sz w:val="24"/>
          <w:szCs w:val="24"/>
          <w:lang w:val="en-US" w:eastAsia="it-IT"/>
        </w:rPr>
        <w:t>3.         noted that the just satisfaction awarded by the Court was paid to the applicants, that Mr Nasri had been released from detention by the time the Court gave its judgment and that his wife was free to join him in Egypt if she so wished;</w:t>
      </w:r>
    </w:p>
    <w:p w14:paraId="77B41657"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Times New Roman" w:eastAsia="Times New Roman" w:hAnsi="Times New Roman" w:cs="Times New Roman"/>
          <w:sz w:val="24"/>
          <w:szCs w:val="24"/>
          <w:lang w:val="en-US" w:eastAsia="it-IT"/>
        </w:rPr>
        <w:t>4.         profoundly regretted that the impunity resulting from the acts of the executive cannot be remedied, since the pardons and reduction in the sentences of the US perpetrators means that pursuing their extradition would be fruitless, and since it is impossible under Italian law to reopen proceedings once a person has been finally acquitted;</w:t>
      </w:r>
    </w:p>
    <w:p w14:paraId="52C9F79F"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Times New Roman" w:eastAsia="Times New Roman" w:hAnsi="Times New Roman" w:cs="Times New Roman"/>
          <w:sz w:val="24"/>
          <w:szCs w:val="24"/>
          <w:lang w:val="en-US" w:eastAsia="it-IT"/>
        </w:rPr>
        <w:t>5.         concluded, in the light of the foregoing, that no further individual measures are necessary or feasible;</w:t>
      </w:r>
    </w:p>
    <w:p w14:paraId="292D7DE2"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Times New Roman" w:eastAsia="Times New Roman" w:hAnsi="Times New Roman" w:cs="Times New Roman"/>
          <w:i/>
          <w:iCs/>
          <w:sz w:val="24"/>
          <w:szCs w:val="24"/>
          <w:lang w:val="en-US" w:eastAsia="it-IT"/>
        </w:rPr>
        <w:t>As regards general measures</w:t>
      </w:r>
    </w:p>
    <w:p w14:paraId="514308E3"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Times New Roman" w:eastAsia="Times New Roman" w:hAnsi="Times New Roman" w:cs="Times New Roman"/>
          <w:sz w:val="24"/>
          <w:szCs w:val="24"/>
          <w:lang w:val="en-US" w:eastAsia="it-IT"/>
        </w:rPr>
        <w:lastRenderedPageBreak/>
        <w:t>6.         welcoming the introduction of the crime of torture into Italian law as an important preventive and deterrent measure with regards to serious human rights violations such as those found in the present case, called on the Italian authorities at a high level to deliver an unequivocal message to the intelligence services as to the absolute unacceptability of, and zero tolerance towards, arbitrary detention, torture and secret rendition operations;</w:t>
      </w:r>
    </w:p>
    <w:p w14:paraId="13B8D8BD"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Times New Roman" w:eastAsia="Times New Roman" w:hAnsi="Times New Roman" w:cs="Times New Roman"/>
          <w:sz w:val="24"/>
          <w:szCs w:val="24"/>
          <w:lang w:val="en-US" w:eastAsia="it-IT"/>
        </w:rPr>
        <w:t>7.         welcomed the undertaking by the government to make every effort to ensure that the crime of torture is excluded from any future legislation granting collective reductions or remissions of sentence and insisted that the obligation to prevent impunity for serious human rights violations is given due consideration in any future decision on individual pardons;</w:t>
      </w:r>
    </w:p>
    <w:p w14:paraId="2E2B9738"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Times New Roman" w:eastAsia="Times New Roman" w:hAnsi="Times New Roman" w:cs="Times New Roman"/>
          <w:sz w:val="24"/>
          <w:szCs w:val="24"/>
          <w:lang w:val="en-US" w:eastAsia="it-IT"/>
        </w:rPr>
        <w:t>8.         noting that the government’s improper invocation of state secrecy led to the ultimate acquittal of the accused Italian military intelligence agents, called on the authorities to take measures to ensure that state secrecy is not in the future used in such a way as to undermine the effectiveness of criminal proceedings into serious human rights violations, for example by adding the crime of torture to those in relation to which state secrecy cannot be invoked;</w:t>
      </w:r>
    </w:p>
    <w:p w14:paraId="59551D01" w14:textId="77777777" w:rsidR="00EB31DE" w:rsidRPr="00EB31DE" w:rsidRDefault="00EB31DE" w:rsidP="00EB31DE">
      <w:pPr>
        <w:spacing w:before="100" w:beforeAutospacing="1" w:after="100" w:afterAutospacing="1" w:line="240" w:lineRule="auto"/>
        <w:rPr>
          <w:rFonts w:ascii="Times New Roman" w:eastAsia="Times New Roman" w:hAnsi="Times New Roman" w:cs="Times New Roman"/>
          <w:sz w:val="24"/>
          <w:szCs w:val="24"/>
          <w:lang w:val="en-US" w:eastAsia="it-IT"/>
        </w:rPr>
      </w:pPr>
      <w:r w:rsidRPr="00EB31DE">
        <w:rPr>
          <w:rFonts w:ascii="Times New Roman" w:eastAsia="Times New Roman" w:hAnsi="Times New Roman" w:cs="Times New Roman"/>
          <w:sz w:val="24"/>
          <w:szCs w:val="24"/>
          <w:lang w:val="en-US" w:eastAsia="it-IT"/>
        </w:rPr>
        <w:t>9.         requested the authorities to provide information on all the remaining questions identified above no later than 15 December 2020.</w:t>
      </w:r>
    </w:p>
    <w:p w14:paraId="6B98A5B7" w14:textId="77777777" w:rsidR="00193CAE" w:rsidRDefault="00193CAE"/>
    <w:sectPr w:rsidR="00193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AE"/>
    <w:rsid w:val="00193CAE"/>
    <w:rsid w:val="00EB3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7EF2A-0842-4E3E-BC9F-C21B389A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479848">
      <w:bodyDiv w:val="1"/>
      <w:marLeft w:val="0"/>
      <w:marRight w:val="0"/>
      <w:marTop w:val="0"/>
      <w:marBottom w:val="0"/>
      <w:divBdr>
        <w:top w:val="none" w:sz="0" w:space="0" w:color="auto"/>
        <w:left w:val="none" w:sz="0" w:space="0" w:color="auto"/>
        <w:bottom w:val="none" w:sz="0" w:space="0" w:color="auto"/>
        <w:right w:val="none" w:sz="0" w:space="0" w:color="auto"/>
      </w:divBdr>
      <w:divsChild>
        <w:div w:id="738135876">
          <w:marLeft w:val="0"/>
          <w:marRight w:val="0"/>
          <w:marTop w:val="0"/>
          <w:marBottom w:val="0"/>
          <w:divBdr>
            <w:top w:val="none" w:sz="0" w:space="0" w:color="auto"/>
            <w:left w:val="none" w:sz="0" w:space="0" w:color="auto"/>
            <w:bottom w:val="none" w:sz="0" w:space="0" w:color="auto"/>
            <w:right w:val="none" w:sz="0" w:space="0" w:color="auto"/>
          </w:divBdr>
          <w:divsChild>
            <w:div w:id="67701031">
              <w:marLeft w:val="0"/>
              <w:marRight w:val="0"/>
              <w:marTop w:val="0"/>
              <w:marBottom w:val="0"/>
              <w:divBdr>
                <w:top w:val="none" w:sz="0" w:space="0" w:color="auto"/>
                <w:left w:val="none" w:sz="0" w:space="0" w:color="auto"/>
                <w:bottom w:val="none" w:sz="0" w:space="0" w:color="auto"/>
                <w:right w:val="none" w:sz="0" w:space="0" w:color="auto"/>
              </w:divBdr>
              <w:divsChild>
                <w:div w:id="1859466627">
                  <w:marLeft w:val="0"/>
                  <w:marRight w:val="0"/>
                  <w:marTop w:val="0"/>
                  <w:marBottom w:val="0"/>
                  <w:divBdr>
                    <w:top w:val="none" w:sz="0" w:space="0" w:color="auto"/>
                    <w:left w:val="none" w:sz="0" w:space="0" w:color="auto"/>
                    <w:bottom w:val="none" w:sz="0" w:space="0" w:color="auto"/>
                    <w:right w:val="none" w:sz="0" w:space="0" w:color="auto"/>
                  </w:divBdr>
                  <w:divsChild>
                    <w:div w:id="1121025626">
                      <w:marLeft w:val="0"/>
                      <w:marRight w:val="0"/>
                      <w:marTop w:val="0"/>
                      <w:marBottom w:val="0"/>
                      <w:divBdr>
                        <w:top w:val="none" w:sz="0" w:space="0" w:color="auto"/>
                        <w:left w:val="none" w:sz="0" w:space="0" w:color="auto"/>
                        <w:bottom w:val="none" w:sz="0" w:space="0" w:color="auto"/>
                        <w:right w:val="none" w:sz="0" w:space="0" w:color="auto"/>
                      </w:divBdr>
                      <w:divsChild>
                        <w:div w:id="1007054437">
                          <w:marLeft w:val="0"/>
                          <w:marRight w:val="0"/>
                          <w:marTop w:val="0"/>
                          <w:marBottom w:val="0"/>
                          <w:divBdr>
                            <w:top w:val="none" w:sz="0" w:space="0" w:color="auto"/>
                            <w:left w:val="none" w:sz="0" w:space="0" w:color="auto"/>
                            <w:bottom w:val="none" w:sz="0" w:space="0" w:color="auto"/>
                            <w:right w:val="none" w:sz="0" w:space="0" w:color="auto"/>
                          </w:divBdr>
                          <w:divsChild>
                            <w:div w:id="204413622">
                              <w:marLeft w:val="0"/>
                              <w:marRight w:val="0"/>
                              <w:marTop w:val="0"/>
                              <w:marBottom w:val="0"/>
                              <w:divBdr>
                                <w:top w:val="none" w:sz="0" w:space="0" w:color="auto"/>
                                <w:left w:val="none" w:sz="0" w:space="0" w:color="auto"/>
                                <w:bottom w:val="none" w:sz="0" w:space="0" w:color="auto"/>
                                <w:right w:val="none" w:sz="0" w:space="0" w:color="auto"/>
                              </w:divBdr>
                              <w:divsChild>
                                <w:div w:id="642856744">
                                  <w:marLeft w:val="0"/>
                                  <w:marRight w:val="0"/>
                                  <w:marTop w:val="0"/>
                                  <w:marBottom w:val="0"/>
                                  <w:divBdr>
                                    <w:top w:val="none" w:sz="0" w:space="0" w:color="auto"/>
                                    <w:left w:val="none" w:sz="0" w:space="0" w:color="auto"/>
                                    <w:bottom w:val="none" w:sz="0" w:space="0" w:color="auto"/>
                                    <w:right w:val="none" w:sz="0" w:space="0" w:color="auto"/>
                                  </w:divBdr>
                                  <w:divsChild>
                                    <w:div w:id="864706891">
                                      <w:marLeft w:val="0"/>
                                      <w:marRight w:val="0"/>
                                      <w:marTop w:val="0"/>
                                      <w:marBottom w:val="0"/>
                                      <w:divBdr>
                                        <w:top w:val="none" w:sz="0" w:space="0" w:color="auto"/>
                                        <w:left w:val="none" w:sz="0" w:space="0" w:color="auto"/>
                                        <w:bottom w:val="none" w:sz="0" w:space="0" w:color="auto"/>
                                        <w:right w:val="none" w:sz="0" w:space="0" w:color="auto"/>
                                      </w:divBdr>
                                      <w:divsChild>
                                        <w:div w:id="230120389">
                                          <w:marLeft w:val="0"/>
                                          <w:marRight w:val="0"/>
                                          <w:marTop w:val="0"/>
                                          <w:marBottom w:val="0"/>
                                          <w:divBdr>
                                            <w:top w:val="none" w:sz="0" w:space="0" w:color="auto"/>
                                            <w:left w:val="none" w:sz="0" w:space="0" w:color="auto"/>
                                            <w:bottom w:val="none" w:sz="0" w:space="0" w:color="auto"/>
                                            <w:right w:val="none" w:sz="0" w:space="0" w:color="auto"/>
                                          </w:divBdr>
                                          <w:divsChild>
                                            <w:div w:id="1515341265">
                                              <w:marLeft w:val="0"/>
                                              <w:marRight w:val="0"/>
                                              <w:marTop w:val="0"/>
                                              <w:marBottom w:val="0"/>
                                              <w:divBdr>
                                                <w:top w:val="none" w:sz="0" w:space="0" w:color="auto"/>
                                                <w:left w:val="none" w:sz="0" w:space="0" w:color="auto"/>
                                                <w:bottom w:val="none" w:sz="0" w:space="0" w:color="auto"/>
                                                <w:right w:val="none" w:sz="0" w:space="0" w:color="auto"/>
                                              </w:divBdr>
                                              <w:divsChild>
                                                <w:div w:id="17120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arch.coe.int/cm/Pages/result_details.aspx?Reference=CM/Notes/1377/H46-1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Paciotti</dc:creator>
  <cp:keywords/>
  <dc:description/>
  <cp:lastModifiedBy>Elena Paciotti</cp:lastModifiedBy>
  <cp:revision>2</cp:revision>
  <dcterms:created xsi:type="dcterms:W3CDTF">2020-06-30T12:14:00Z</dcterms:created>
  <dcterms:modified xsi:type="dcterms:W3CDTF">2020-06-30T12:15:00Z</dcterms:modified>
</cp:coreProperties>
</file>